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9"/>
        <w:rPr>
          <w:sz w:val="27"/>
        </w:rPr>
      </w:pPr>
    </w:p>
    <w:p>
      <w:pPr>
        <w:spacing w:before="0"/>
        <w:ind w:left="110" w:right="0" w:firstLine="0"/>
        <w:jc w:val="left"/>
        <w:rPr>
          <w:b/>
          <w:sz w:val="16"/>
        </w:rPr>
      </w:pPr>
      <w:r>
        <w:rPr>
          <w:b/>
          <w:w w:val="105"/>
          <w:sz w:val="16"/>
        </w:rPr>
        <w:t>Note:</w:t>
      </w:r>
    </w:p>
    <w:p>
      <w:pPr>
        <w:spacing w:line="312" w:lineRule="auto" w:before="39"/>
        <w:ind w:left="110" w:right="857" w:firstLine="0"/>
        <w:jc w:val="left"/>
        <w:rPr>
          <w:sz w:val="13"/>
        </w:rPr>
      </w:pPr>
      <w:r>
        <w:rPr>
          <w:w w:val="105"/>
          <w:sz w:val="13"/>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 -Year Unpaid Undelivered Orders–Obligations, Recoveries,” 487200, “Downward Adjustments of Prior -Year Prepaid/Advanced Undelivered Orders–Obligations, Refunds Collected,” 497100, “Downward Adjustments of Prior -Year Unpaid Delivered Orders–Obligations, Recoveries,” and  497200, “Downward Adjustments of Prior -Year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Orders–Obligations, Unpaid,” and 490200, “Delivered Orders–Obligations, Paid.” Therefore, an agency must similarly identify the adjustment accounts to close these accounts</w:t>
      </w:r>
      <w:r>
        <w:rPr>
          <w:spacing w:val="2"/>
          <w:w w:val="105"/>
          <w:sz w:val="13"/>
        </w:rPr>
        <w:t> </w:t>
      </w:r>
      <w:r>
        <w:rPr>
          <w:w w:val="105"/>
          <w:sz w:val="13"/>
        </w:rPr>
        <w:t>properly.</w:t>
      </w:r>
    </w:p>
    <w:p>
      <w:pPr>
        <w:pStyle w:val="BodyText"/>
        <w:spacing w:before="5"/>
        <w:rPr>
          <w:sz w:val="25"/>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3855"/>
        <w:gridCol w:w="1455"/>
      </w:tblGrid>
      <w:tr>
        <w:trPr>
          <w:trHeight w:val="360" w:hRule="atLeast"/>
        </w:trPr>
        <w:tc>
          <w:tcPr>
            <w:tcW w:w="3855" w:type="dxa"/>
            <w:tcBorders>
              <w:bottom w:val="single" w:sz="18" w:space="0" w:color="818181"/>
            </w:tcBorders>
          </w:tcPr>
          <w:p>
            <w:pPr>
              <w:pStyle w:val="TableParagraph"/>
              <w:spacing w:line="240" w:lineRule="auto" w:before="91"/>
              <w:ind w:left="75"/>
              <w:rPr>
                <w:b/>
                <w:sz w:val="19"/>
              </w:rPr>
            </w:pPr>
            <w:r>
              <w:rPr>
                <w:b/>
                <w:color w:val="303030"/>
                <w:w w:val="105"/>
                <w:sz w:val="19"/>
              </w:rPr>
              <w:t>Section IV</w:t>
            </w:r>
          </w:p>
        </w:tc>
        <w:tc>
          <w:tcPr>
            <w:tcW w:w="1455" w:type="dxa"/>
            <w:tcBorders>
              <w:bottom w:val="single" w:sz="18" w:space="0" w:color="818181"/>
              <w:right w:val="single" w:sz="12" w:space="0" w:color="818181"/>
            </w:tcBorders>
          </w:tcPr>
          <w:p>
            <w:pPr>
              <w:pStyle w:val="TableParagraph"/>
              <w:spacing w:line="240" w:lineRule="auto" w:before="91"/>
              <w:rPr>
                <w:b/>
                <w:sz w:val="19"/>
              </w:rPr>
            </w:pPr>
            <w:r>
              <w:rPr>
                <w:b/>
                <w:color w:val="303030"/>
                <w:w w:val="105"/>
                <w:sz w:val="19"/>
              </w:rPr>
              <w:t>Page Number</w:t>
            </w:r>
          </w:p>
        </w:tc>
      </w:tr>
      <w:tr>
        <w:trPr>
          <w:trHeight w:val="315" w:hRule="atLeast"/>
        </w:trPr>
        <w:tc>
          <w:tcPr>
            <w:tcW w:w="3855" w:type="dxa"/>
            <w:tcBorders>
              <w:top w:val="single" w:sz="18" w:space="0" w:color="818181"/>
            </w:tcBorders>
          </w:tcPr>
          <w:p>
            <w:pPr>
              <w:pStyle w:val="TableParagraph"/>
              <w:ind w:left="75"/>
              <w:rPr>
                <w:sz w:val="19"/>
              </w:rPr>
            </w:pPr>
            <w:r>
              <w:rPr>
                <w:color w:val="303030"/>
                <w:w w:val="105"/>
                <w:sz w:val="19"/>
              </w:rPr>
              <w:t>USSGL Attribute Definition Report (ADR)</w:t>
            </w:r>
          </w:p>
        </w:tc>
        <w:tc>
          <w:tcPr>
            <w:tcW w:w="1455" w:type="dxa"/>
            <w:tcBorders>
              <w:top w:val="single" w:sz="18" w:space="0" w:color="818181"/>
              <w:right w:val="single" w:sz="12" w:space="0" w:color="818181"/>
            </w:tcBorders>
          </w:tcPr>
          <w:p>
            <w:pPr>
              <w:pStyle w:val="TableParagraph"/>
              <w:rPr>
                <w:sz w:val="19"/>
              </w:rPr>
            </w:pPr>
            <w:r>
              <w:rPr>
                <w:color w:val="303030"/>
                <w:w w:val="105"/>
                <w:sz w:val="19"/>
              </w:rPr>
              <w:t>IV ADR - 1</w:t>
            </w:r>
          </w:p>
        </w:tc>
      </w:tr>
      <w:tr>
        <w:trPr>
          <w:trHeight w:val="315" w:hRule="atLeast"/>
        </w:trPr>
        <w:tc>
          <w:tcPr>
            <w:tcW w:w="3855" w:type="dxa"/>
            <w:tcBorders>
              <w:bottom w:val="single" w:sz="12" w:space="0" w:color="818181"/>
            </w:tcBorders>
          </w:tcPr>
          <w:p>
            <w:pPr>
              <w:pStyle w:val="TableParagraph"/>
              <w:ind w:left="75"/>
              <w:rPr>
                <w:sz w:val="19"/>
              </w:rPr>
            </w:pPr>
            <w:r>
              <w:rPr>
                <w:color w:val="303030"/>
                <w:w w:val="105"/>
                <w:sz w:val="19"/>
              </w:rPr>
              <w:t>USSGL Account Attribute Table (AT)</w:t>
            </w:r>
          </w:p>
        </w:tc>
        <w:tc>
          <w:tcPr>
            <w:tcW w:w="1455" w:type="dxa"/>
            <w:tcBorders>
              <w:bottom w:val="single" w:sz="12" w:space="0" w:color="818181"/>
              <w:right w:val="single" w:sz="12" w:space="0" w:color="818181"/>
            </w:tcBorders>
          </w:tcPr>
          <w:p>
            <w:pPr>
              <w:pStyle w:val="TableParagraph"/>
              <w:rPr>
                <w:sz w:val="19"/>
              </w:rPr>
            </w:pPr>
            <w:r>
              <w:rPr>
                <w:color w:val="303030"/>
                <w:w w:val="105"/>
                <w:sz w:val="19"/>
              </w:rPr>
              <w:t>IV AT - 1</w:t>
            </w:r>
          </w:p>
        </w:tc>
      </w:tr>
    </w:tbl>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0"/>
        <w:rPr>
          <w:sz w:val="12"/>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6" w:line="218" w:lineRule="exact"/>
      <w:ind w:left="7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dcterms:created xsi:type="dcterms:W3CDTF">2018-05-04T19:47:12Z</dcterms:created>
  <dcterms:modified xsi:type="dcterms:W3CDTF">2018-05-04T19:47:12Z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