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9" w:type="dxa"/>
        <w:tblLayout w:type="fixed"/>
        <w:tblCellMar>
          <w:top w:w="20" w:type="dxa"/>
          <w:left w:w="40" w:type="dxa"/>
          <w:bottom w:w="20" w:type="dxa"/>
          <w:right w:w="40" w:type="dxa"/>
        </w:tblCellMar>
        <w:tblLook w:val="0480" w:firstRow="0" w:lastRow="0" w:firstColumn="1" w:lastColumn="0" w:noHBand="0" w:noVBand="1"/>
      </w:tblPr>
      <w:tblGrid>
        <w:gridCol w:w="2160"/>
        <w:gridCol w:w="1441"/>
        <w:gridCol w:w="5040"/>
        <w:gridCol w:w="2879"/>
        <w:gridCol w:w="719"/>
        <w:gridCol w:w="1300"/>
        <w:gridCol w:w="860"/>
      </w:tblGrid>
      <w:tr w:rsidR="004308EA" w:rsidRPr="000C5E7A" w14:paraId="171E7CD2" w14:textId="77777777" w:rsidTr="000C5E7A">
        <w:trPr>
          <w:cantSplit/>
        </w:trPr>
        <w:tc>
          <w:tcPr>
            <w:tcW w:w="2160" w:type="dxa"/>
          </w:tcPr>
          <w:p w14:paraId="345BF406" w14:textId="5DC94140"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BEA Category Indicator</w:t>
            </w:r>
          </w:p>
        </w:tc>
        <w:tc>
          <w:tcPr>
            <w:tcW w:w="1441" w:type="dxa"/>
          </w:tcPr>
          <w:p w14:paraId="46AD65F7" w14:textId="00AA7B40"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BEA Cat</w:t>
            </w:r>
          </w:p>
        </w:tc>
        <w:tc>
          <w:tcPr>
            <w:tcW w:w="5040" w:type="dxa"/>
          </w:tcPr>
          <w:p w14:paraId="052DA221" w14:textId="2EBB22E9" w:rsidR="004308EA" w:rsidRPr="00013AF6" w:rsidRDefault="00013AF6" w:rsidP="007738DB">
            <w:pPr>
              <w:pStyle w:val="PlainText"/>
              <w:rPr>
                <w:rFonts w:ascii="TimesNewRoman" w:hAnsi="TimesNewRoman" w:cs="Courier New"/>
                <w:color w:val="4F81BD" w:themeColor="accent1"/>
                <w:sz w:val="20"/>
              </w:rPr>
            </w:pPr>
            <w:r>
              <w:rPr>
                <w:rFonts w:ascii="TimesNewRoman" w:hAnsi="TimesNewRoman" w:cs="Courier New"/>
                <w:color w:val="4F81BD" w:themeColor="accent1"/>
                <w:sz w:val="20"/>
              </w:rPr>
              <w:t xml:space="preserve">At a USSGL account lever, </w:t>
            </w:r>
            <w:proofErr w:type="spellStart"/>
            <w:r>
              <w:rPr>
                <w:rFonts w:ascii="TimesNewRoman" w:hAnsi="TimesNewRoman" w:cs="Courier New"/>
                <w:color w:val="4F81BD" w:themeColor="accent1"/>
                <w:sz w:val="20"/>
              </w:rPr>
              <w:t>i</w:t>
            </w:r>
            <w:r w:rsidR="004308EA" w:rsidRPr="00013AF6">
              <w:rPr>
                <w:rFonts w:ascii="TimesNewRoman" w:hAnsi="TimesNewRoman" w:cs="Courier New"/>
                <w:strike/>
                <w:color w:val="FF0000"/>
                <w:sz w:val="20"/>
              </w:rPr>
              <w:t>I</w:t>
            </w:r>
            <w:r w:rsidR="004308EA" w:rsidRPr="000C5E7A">
              <w:rPr>
                <w:rFonts w:ascii="TimesNewRoman" w:hAnsi="TimesNewRoman" w:cs="Courier New"/>
                <w:sz w:val="20"/>
              </w:rPr>
              <w:t>ndicates</w:t>
            </w:r>
            <w:proofErr w:type="spellEnd"/>
            <w:r w:rsidR="004308EA" w:rsidRPr="000C5E7A">
              <w:rPr>
                <w:rFonts w:ascii="TimesNewRoman" w:hAnsi="TimesNewRoman" w:cs="Courier New"/>
                <w:sz w:val="20"/>
              </w:rPr>
              <w:t xml:space="preserve"> whether the Budget Enforcement Act (BEA) category is</w:t>
            </w:r>
            <w:r>
              <w:rPr>
                <w:rFonts w:ascii="TimesNewRoman" w:hAnsi="TimesNewRoman" w:cs="Courier New"/>
                <w:sz w:val="20"/>
              </w:rPr>
              <w:t xml:space="preserve"> </w:t>
            </w:r>
            <w:r>
              <w:rPr>
                <w:rFonts w:ascii="TimesNewRoman" w:hAnsi="TimesNewRoman" w:cs="Courier New"/>
                <w:color w:val="4F81BD" w:themeColor="accent1"/>
                <w:sz w:val="20"/>
              </w:rPr>
              <w:t>discretionary or</w:t>
            </w:r>
            <w:r w:rsidR="004308EA" w:rsidRPr="000C5E7A">
              <w:rPr>
                <w:rFonts w:ascii="TimesNewRoman" w:hAnsi="TimesNewRoman" w:cs="Courier New"/>
                <w:sz w:val="20"/>
              </w:rPr>
              <w:t xml:space="preserve"> mandatory </w:t>
            </w:r>
            <w:r w:rsidR="004308EA" w:rsidRPr="00013AF6">
              <w:rPr>
                <w:rFonts w:ascii="TimesNewRoman" w:hAnsi="TimesNewRoman" w:cs="Courier New"/>
                <w:strike/>
                <w:color w:val="FF0000"/>
                <w:sz w:val="20"/>
              </w:rPr>
              <w:t>or discretionary</w:t>
            </w:r>
            <w:r w:rsidR="004308EA" w:rsidRPr="000C5E7A">
              <w:rPr>
                <w:rFonts w:ascii="TimesNewRoman" w:hAnsi="TimesNewRoman" w:cs="Courier New"/>
                <w:sz w:val="20"/>
              </w:rPr>
              <w:t>.</w:t>
            </w:r>
            <w:r>
              <w:rPr>
                <w:rFonts w:ascii="TimesNewRoman" w:hAnsi="TimesNewRoman" w:cs="Courier New"/>
                <w:sz w:val="20"/>
              </w:rPr>
              <w:t xml:space="preserve"> </w:t>
            </w:r>
            <w:r w:rsidR="00BC29EA" w:rsidRPr="00BC29EA">
              <w:rPr>
                <w:rFonts w:ascii="TimesNewRoman" w:hAnsi="TimesNewRoman" w:cs="Courier New"/>
                <w:color w:val="4F81BD" w:themeColor="accent1"/>
                <w:sz w:val="20"/>
              </w:rPr>
              <w:t>Additionally,</w:t>
            </w:r>
            <w:r w:rsidR="00BC29EA">
              <w:rPr>
                <w:rFonts w:ascii="TimesNewRoman" w:hAnsi="TimesNewRoman" w:cs="Courier New"/>
                <w:color w:val="4F81BD" w:themeColor="accent1"/>
                <w:sz w:val="20"/>
              </w:rPr>
              <w:t xml:space="preserve"> the BEA Category is also used at a Treasury account level for governmentwide reporting. </w:t>
            </w:r>
            <w:r w:rsidR="00BC29EA" w:rsidRPr="00BC29EA">
              <w:rPr>
                <w:rFonts w:ascii="TimesNewRoman" w:hAnsi="TimesNewRoman" w:cs="Courier New"/>
                <w:color w:val="4F81BD" w:themeColor="accent1"/>
                <w:sz w:val="20"/>
              </w:rPr>
              <w:t xml:space="preserve"> </w:t>
            </w:r>
            <w:r>
              <w:rPr>
                <w:rFonts w:ascii="TimesNewRoman" w:hAnsi="TimesNewRoman" w:cs="Courier New"/>
                <w:color w:val="4F81BD" w:themeColor="accent1"/>
                <w:sz w:val="20"/>
              </w:rPr>
              <w:t xml:space="preserve">For Treasury </w:t>
            </w:r>
            <w:r w:rsidR="00BC29EA">
              <w:rPr>
                <w:rFonts w:ascii="TimesNewRoman" w:hAnsi="TimesNewRoman" w:cs="Courier New"/>
                <w:color w:val="4F81BD" w:themeColor="accent1"/>
                <w:sz w:val="20"/>
              </w:rPr>
              <w:t xml:space="preserve">expenditure accounts, this category may be classified as discretionary (D), mandatory (M), or split (S). For Treasury receipt accounts, this category may be classified as discretionary (D), governmental (G), mandatory (M), net income (N), or split (S). Note – </w:t>
            </w:r>
            <w:r w:rsidR="009C3CB1">
              <w:rPr>
                <w:rFonts w:ascii="TimesNewRoman" w:hAnsi="TimesNewRoman" w:cs="Courier New"/>
                <w:color w:val="4F81BD" w:themeColor="accent1"/>
                <w:sz w:val="20"/>
              </w:rPr>
              <w:t>S</w:t>
            </w:r>
            <w:r w:rsidR="00BC29EA">
              <w:rPr>
                <w:rFonts w:ascii="TimesNewRoman" w:hAnsi="TimesNewRoman" w:cs="Courier New"/>
                <w:color w:val="4F81BD" w:themeColor="accent1"/>
                <w:sz w:val="20"/>
              </w:rPr>
              <w:t>plit means that agency is reporting both discretionary and mandatory categories.</w:t>
            </w:r>
          </w:p>
        </w:tc>
        <w:tc>
          <w:tcPr>
            <w:tcW w:w="2879" w:type="dxa"/>
          </w:tcPr>
          <w:p w14:paraId="6414544A" w14:textId="77777777" w:rsidR="004308EA" w:rsidRDefault="004308EA" w:rsidP="007738DB">
            <w:pPr>
              <w:pStyle w:val="PlainText"/>
              <w:rPr>
                <w:rFonts w:ascii="TimesNewRoman" w:hAnsi="TimesNewRoman" w:cs="Courier New"/>
                <w:sz w:val="20"/>
              </w:rPr>
            </w:pPr>
            <w:r>
              <w:rPr>
                <w:rFonts w:ascii="TimesNewRoman" w:hAnsi="TimesNewRoman" w:cs="Courier New"/>
                <w:sz w:val="20"/>
              </w:rPr>
              <w:t>D - Discretionary,</w:t>
            </w:r>
          </w:p>
          <w:p w14:paraId="2F933CF9" w14:textId="7AF28B46" w:rsidR="004308EA" w:rsidRPr="000C5E7A" w:rsidRDefault="004308EA" w:rsidP="007738DB">
            <w:pPr>
              <w:pStyle w:val="PlainText"/>
              <w:rPr>
                <w:rFonts w:ascii="TimesNewRoman" w:hAnsi="TimesNewRoman" w:cs="Courier New"/>
                <w:sz w:val="20"/>
              </w:rPr>
            </w:pPr>
            <w:r>
              <w:rPr>
                <w:rFonts w:ascii="TimesNewRoman" w:hAnsi="TimesNewRoman" w:cs="Courier New"/>
                <w:sz w:val="20"/>
              </w:rPr>
              <w:t>M - Mandatory</w:t>
            </w:r>
          </w:p>
        </w:tc>
        <w:tc>
          <w:tcPr>
            <w:tcW w:w="719" w:type="dxa"/>
          </w:tcPr>
          <w:p w14:paraId="3E96D960" w14:textId="3A30484B"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1/A</w:t>
            </w:r>
          </w:p>
        </w:tc>
        <w:tc>
          <w:tcPr>
            <w:tcW w:w="1300" w:type="dxa"/>
          </w:tcPr>
          <w:p w14:paraId="3C1E0534" w14:textId="123FACB2"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OMB Circ. No. A-11</w:t>
            </w:r>
          </w:p>
        </w:tc>
        <w:tc>
          <w:tcPr>
            <w:tcW w:w="860" w:type="dxa"/>
          </w:tcPr>
          <w:p w14:paraId="66BA60BF" w14:textId="7A7A842B"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Bulk File</w:t>
            </w:r>
          </w:p>
        </w:tc>
      </w:tr>
      <w:tr w:rsidR="004308EA" w:rsidRPr="000C5E7A" w14:paraId="52F233DE" w14:textId="77777777" w:rsidTr="000C5E7A">
        <w:trPr>
          <w:cantSplit/>
        </w:trPr>
        <w:tc>
          <w:tcPr>
            <w:tcW w:w="2160" w:type="dxa"/>
          </w:tcPr>
          <w:p w14:paraId="07A73A51" w14:textId="1E569A8F"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Credit Cohort Year</w:t>
            </w:r>
          </w:p>
        </w:tc>
        <w:tc>
          <w:tcPr>
            <w:tcW w:w="1441" w:type="dxa"/>
          </w:tcPr>
          <w:p w14:paraId="3574E77B" w14:textId="2F002F6F"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 xml:space="preserve">Cohort </w:t>
            </w:r>
            <w:proofErr w:type="spellStart"/>
            <w:r w:rsidRPr="000C5E7A">
              <w:rPr>
                <w:rFonts w:ascii="TimesNewRoman" w:hAnsi="TimesNewRoman" w:cs="Courier New"/>
                <w:sz w:val="20"/>
              </w:rPr>
              <w:t>Yr</w:t>
            </w:r>
            <w:proofErr w:type="spellEnd"/>
          </w:p>
        </w:tc>
        <w:tc>
          <w:tcPr>
            <w:tcW w:w="5040" w:type="dxa"/>
          </w:tcPr>
          <w:p w14:paraId="60E11A0C" w14:textId="6FC9D2C6"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Fiscal year when direct loans are obligated or guarantees committed by a program, even if disbursements occur in subsequent fiscal years.</w:t>
            </w:r>
          </w:p>
        </w:tc>
        <w:tc>
          <w:tcPr>
            <w:tcW w:w="2879" w:type="dxa"/>
          </w:tcPr>
          <w:p w14:paraId="3EDFF309" w14:textId="77777777" w:rsidR="004308EA" w:rsidRDefault="004308EA" w:rsidP="007738DB">
            <w:pPr>
              <w:pStyle w:val="PlainText"/>
              <w:rPr>
                <w:rFonts w:ascii="TimesNewRoman" w:hAnsi="TimesNewRoman" w:cs="Courier New"/>
                <w:sz w:val="20"/>
              </w:rPr>
            </w:pPr>
            <w:r>
              <w:rPr>
                <w:rFonts w:ascii="TimesNewRoman" w:hAnsi="TimesNewRoman" w:cs="Courier New"/>
                <w:sz w:val="20"/>
              </w:rPr>
              <w:t>1001 - OPIC Working Capital,</w:t>
            </w:r>
          </w:p>
          <w:p w14:paraId="36B11953" w14:textId="55AA37BF" w:rsidR="004308EA" w:rsidRPr="00013AF6" w:rsidRDefault="004308EA" w:rsidP="007738DB">
            <w:pPr>
              <w:pStyle w:val="PlainText"/>
              <w:rPr>
                <w:rFonts w:ascii="TimesNewRoman" w:hAnsi="TimesNewRoman" w:cs="Courier New"/>
                <w:color w:val="4F81BD" w:themeColor="accent1"/>
                <w:sz w:val="20"/>
              </w:rPr>
            </w:pPr>
            <w:r>
              <w:rPr>
                <w:rFonts w:ascii="TimesNewRoman" w:hAnsi="TimesNewRoman" w:cs="Courier New"/>
                <w:sz w:val="20"/>
              </w:rPr>
              <w:t>1992-</w:t>
            </w:r>
            <w:r w:rsidRPr="00013AF6">
              <w:rPr>
                <w:rFonts w:ascii="TimesNewRoman" w:hAnsi="TimesNewRoman" w:cs="Courier New"/>
                <w:strike/>
                <w:color w:val="4F81BD" w:themeColor="accent1"/>
                <w:sz w:val="20"/>
              </w:rPr>
              <w:t>202</w:t>
            </w:r>
            <w:r w:rsidR="00013AF6" w:rsidRPr="00013AF6">
              <w:rPr>
                <w:rFonts w:ascii="TimesNewRoman" w:hAnsi="TimesNewRoman" w:cs="Courier New"/>
                <w:strike/>
                <w:color w:val="4F81BD" w:themeColor="accent1"/>
                <w:sz w:val="20"/>
              </w:rPr>
              <w:t>4</w:t>
            </w:r>
            <w:r w:rsidR="00013AF6">
              <w:rPr>
                <w:rFonts w:ascii="TimesNewRoman" w:hAnsi="TimesNewRoman" w:cs="Courier New"/>
                <w:color w:val="4F81BD" w:themeColor="accent1"/>
                <w:sz w:val="20"/>
              </w:rPr>
              <w:t>2025</w:t>
            </w:r>
          </w:p>
        </w:tc>
        <w:tc>
          <w:tcPr>
            <w:tcW w:w="719" w:type="dxa"/>
          </w:tcPr>
          <w:p w14:paraId="43254C42" w14:textId="1970F028"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4/N</w:t>
            </w:r>
          </w:p>
        </w:tc>
        <w:tc>
          <w:tcPr>
            <w:tcW w:w="1300" w:type="dxa"/>
          </w:tcPr>
          <w:p w14:paraId="08EB6848" w14:textId="215CC132"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OMB Circ. No. A-11</w:t>
            </w:r>
          </w:p>
        </w:tc>
        <w:tc>
          <w:tcPr>
            <w:tcW w:w="860" w:type="dxa"/>
          </w:tcPr>
          <w:p w14:paraId="4A0C3FA3" w14:textId="1DC0E7DA" w:rsidR="004308EA" w:rsidRPr="000C5E7A" w:rsidRDefault="004308EA" w:rsidP="007738DB">
            <w:pPr>
              <w:pStyle w:val="PlainText"/>
              <w:rPr>
                <w:rFonts w:ascii="TimesNewRoman" w:hAnsi="TimesNewRoman" w:cs="Courier New"/>
                <w:sz w:val="20"/>
              </w:rPr>
            </w:pPr>
            <w:r w:rsidRPr="000C5E7A">
              <w:rPr>
                <w:rFonts w:ascii="TimesNewRoman" w:hAnsi="TimesNewRoman" w:cs="Courier New"/>
                <w:sz w:val="20"/>
              </w:rPr>
              <w:t>Bulk File</w:t>
            </w:r>
          </w:p>
        </w:tc>
      </w:tr>
    </w:tbl>
    <w:p w14:paraId="017B581A" w14:textId="77777777" w:rsidR="000C5E7A" w:rsidRPr="000C5E7A" w:rsidRDefault="000C5E7A" w:rsidP="000C5E7A">
      <w:pPr>
        <w:pStyle w:val="PlainText"/>
        <w:tabs>
          <w:tab w:val="left" w:pos="2160"/>
          <w:tab w:val="left" w:pos="3600"/>
          <w:tab w:val="left" w:pos="8640"/>
          <w:tab w:val="left" w:pos="11520"/>
          <w:tab w:val="left" w:pos="12240"/>
          <w:tab w:val="left" w:pos="13540"/>
        </w:tabs>
        <w:rPr>
          <w:rFonts w:ascii="TimesNewRoman" w:hAnsi="TimesNewRoman" w:cs="Courier New"/>
          <w:sz w:val="20"/>
        </w:rPr>
      </w:pPr>
    </w:p>
    <w:sectPr w:rsidR="000C5E7A" w:rsidRPr="000C5E7A" w:rsidSect="00B56E56">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E454" w14:textId="77777777" w:rsidR="002532FA" w:rsidRDefault="002532FA" w:rsidP="00403DC6">
      <w:r>
        <w:separator/>
      </w:r>
    </w:p>
  </w:endnote>
  <w:endnote w:type="continuationSeparator" w:id="0">
    <w:p w14:paraId="56ACFF90" w14:textId="77777777" w:rsidR="002532FA" w:rsidRDefault="002532FA" w:rsidP="0040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83B2" w14:textId="77777777" w:rsidR="009C3CB1" w:rsidRDefault="009C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4" w:type="dxa"/>
        <w:right w:w="14" w:type="dxa"/>
      </w:tblCellMar>
      <w:tblLook w:val="04A0" w:firstRow="1" w:lastRow="0" w:firstColumn="1" w:lastColumn="0" w:noHBand="0" w:noVBand="1"/>
    </w:tblPr>
    <w:tblGrid>
      <w:gridCol w:w="4305"/>
      <w:gridCol w:w="6051"/>
      <w:gridCol w:w="4044"/>
    </w:tblGrid>
    <w:tr w:rsidR="004F4A07" w:rsidRPr="00B922E1" w14:paraId="38402432" w14:textId="77777777" w:rsidTr="00902FEE">
      <w:trPr>
        <w:trHeight w:val="252"/>
      </w:trPr>
      <w:tc>
        <w:tcPr>
          <w:tcW w:w="1495" w:type="pct"/>
          <w:shd w:val="clear" w:color="auto" w:fill="auto"/>
          <w:vAlign w:val="center"/>
        </w:tcPr>
        <w:p w14:paraId="2195B1F7" w14:textId="181B76BA" w:rsidR="004F4A07" w:rsidRPr="00B922E1" w:rsidRDefault="000C5E7A" w:rsidP="00902FEE">
          <w:pPr>
            <w:tabs>
              <w:tab w:val="center" w:pos="1152"/>
              <w:tab w:val="center" w:pos="7920"/>
            </w:tabs>
            <w:rPr>
              <w:rFonts w:ascii="Times New Roman" w:eastAsia="Calibri" w:hAnsi="Times New Roman" w:cs="Times New Roman"/>
              <w:b/>
              <w:sz w:val="24"/>
              <w:szCs w:val="24"/>
            </w:rPr>
          </w:pPr>
          <w:r>
            <w:rPr>
              <w:rFonts w:ascii="Arial" w:eastAsia="Calibri" w:hAnsi="Arial" w:cs="Times New Roman"/>
              <w:b/>
              <w:sz w:val="20"/>
            </w:rPr>
            <w:t>Bulletin No. 202</w:t>
          </w:r>
          <w:r w:rsidR="004308EA">
            <w:rPr>
              <w:rFonts w:ascii="Arial" w:eastAsia="Calibri" w:hAnsi="Arial" w:cs="Times New Roman"/>
              <w:b/>
              <w:sz w:val="20"/>
            </w:rPr>
            <w:t>3-02</w:t>
          </w:r>
        </w:p>
      </w:tc>
      <w:tc>
        <w:tcPr>
          <w:tcW w:w="2101" w:type="pct"/>
          <w:shd w:val="clear" w:color="auto" w:fill="auto"/>
          <w:vAlign w:val="center"/>
        </w:tcPr>
        <w:p w14:paraId="06D90A94" w14:textId="7CEF17A1" w:rsidR="004F4A07" w:rsidRPr="00B922E1" w:rsidRDefault="004308EA" w:rsidP="00902FEE">
          <w:pPr>
            <w:tabs>
              <w:tab w:val="center" w:pos="1152"/>
              <w:tab w:val="center" w:pos="792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Draft</w:t>
          </w:r>
        </w:p>
      </w:tc>
      <w:tc>
        <w:tcPr>
          <w:tcW w:w="1404" w:type="pct"/>
          <w:shd w:val="clear" w:color="auto" w:fill="auto"/>
          <w:vAlign w:val="center"/>
        </w:tcPr>
        <w:p w14:paraId="4F778BEF" w14:textId="76F39335" w:rsidR="004F4A07" w:rsidRPr="00B922E1" w:rsidRDefault="004308EA" w:rsidP="00902FEE">
          <w:pPr>
            <w:tabs>
              <w:tab w:val="center" w:pos="1152"/>
              <w:tab w:val="center" w:pos="7920"/>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t>December IRC Handout</w:t>
          </w:r>
        </w:p>
      </w:tc>
    </w:tr>
  </w:tbl>
  <w:p w14:paraId="0FB959E0" w14:textId="77777777" w:rsidR="004F4A07" w:rsidRPr="00B922E1" w:rsidRDefault="004F4A07" w:rsidP="004F4A07">
    <w:pPr>
      <w:pStyle w:val="Footer"/>
      <w:spacing w:line="80" w:lineRule="exact"/>
      <w:rPr>
        <w:rFonts w:ascii="Arial" w:hAnsi="Arial"/>
        <w:sz w:val="16"/>
      </w:rPr>
    </w:pPr>
  </w:p>
  <w:p w14:paraId="54B99355" w14:textId="77777777" w:rsidR="00CF70C5" w:rsidRPr="004F4A07" w:rsidRDefault="00CF70C5" w:rsidP="004F4A07">
    <w:pPr>
      <w:pStyle w:val="Footer"/>
      <w:spacing w:line="60" w:lineRule="exact"/>
      <w:rPr>
        <w:rFonts w:ascii="Arial" w:hAnsi="Arial" w:cs="Arial"/>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523D" w14:textId="77777777" w:rsidR="009C3CB1" w:rsidRDefault="009C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83E1" w14:textId="77777777" w:rsidR="002532FA" w:rsidRDefault="002532FA" w:rsidP="00403DC6">
      <w:r>
        <w:separator/>
      </w:r>
    </w:p>
  </w:footnote>
  <w:footnote w:type="continuationSeparator" w:id="0">
    <w:p w14:paraId="0323A4BD" w14:textId="77777777" w:rsidR="002532FA" w:rsidRDefault="002532FA" w:rsidP="0040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FD47" w14:textId="77777777" w:rsidR="009C3CB1" w:rsidRDefault="009C3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Layout w:type="fixed"/>
      <w:tblCellMar>
        <w:left w:w="29" w:type="dxa"/>
        <w:right w:w="29" w:type="dxa"/>
      </w:tblCellMar>
      <w:tblLook w:val="04A0" w:firstRow="1" w:lastRow="0" w:firstColumn="1" w:lastColumn="0" w:noHBand="0" w:noVBand="1"/>
    </w:tblPr>
    <w:tblGrid>
      <w:gridCol w:w="3801"/>
      <w:gridCol w:w="6823"/>
      <w:gridCol w:w="3776"/>
    </w:tblGrid>
    <w:tr w:rsidR="001C3A72" w:rsidRPr="00B922E1" w14:paraId="016AD201" w14:textId="77777777" w:rsidTr="00B56E56">
      <w:trPr>
        <w:trHeight w:hRule="exact" w:val="288"/>
      </w:trPr>
      <w:tc>
        <w:tcPr>
          <w:tcW w:w="1320" w:type="pct"/>
          <w:shd w:val="clear" w:color="auto" w:fill="auto"/>
          <w:vAlign w:val="center"/>
        </w:tcPr>
        <w:p w14:paraId="5FA1345E" w14:textId="7C7F31E0" w:rsidR="001C3A72" w:rsidRPr="00B922E1" w:rsidRDefault="000C5E7A"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 xml:space="preserve">Part </w:t>
          </w:r>
          <w:r w:rsidR="00013AF6">
            <w:rPr>
              <w:rFonts w:ascii="Arial" w:eastAsia="Calibri" w:hAnsi="Arial" w:cs="Arial"/>
              <w:b/>
              <w:sz w:val="20"/>
              <w:szCs w:val="20"/>
            </w:rPr>
            <w:t>2</w:t>
          </w:r>
        </w:p>
      </w:tc>
      <w:tc>
        <w:tcPr>
          <w:tcW w:w="2369" w:type="pct"/>
          <w:shd w:val="clear" w:color="auto" w:fill="auto"/>
          <w:vAlign w:val="center"/>
        </w:tcPr>
        <w:p w14:paraId="4662D0EA" w14:textId="77777777" w:rsidR="001C3A72" w:rsidRPr="00B922E1" w:rsidRDefault="001C3A72" w:rsidP="00902FEE">
          <w:pPr>
            <w:tabs>
              <w:tab w:val="center" w:pos="1152"/>
              <w:tab w:val="center" w:pos="7920"/>
            </w:tabs>
            <w:rPr>
              <w:rFonts w:ascii="Arial" w:eastAsia="Calibri" w:hAnsi="Arial" w:cs="Arial"/>
              <w:b/>
              <w:sz w:val="20"/>
              <w:szCs w:val="20"/>
            </w:rPr>
          </w:pPr>
        </w:p>
      </w:tc>
      <w:tc>
        <w:tcPr>
          <w:tcW w:w="1311" w:type="pct"/>
          <w:shd w:val="clear" w:color="auto" w:fill="auto"/>
          <w:vAlign w:val="center"/>
        </w:tcPr>
        <w:p w14:paraId="57F587E2" w14:textId="61FBB4F8" w:rsidR="001C3A72" w:rsidRPr="00B922E1" w:rsidRDefault="000C5E7A"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Fiscal Year 202</w:t>
          </w:r>
          <w:r w:rsidR="00013AF6">
            <w:rPr>
              <w:rFonts w:ascii="Arial" w:eastAsia="Calibri" w:hAnsi="Arial" w:cs="Arial"/>
              <w:b/>
              <w:sz w:val="20"/>
              <w:szCs w:val="20"/>
            </w:rPr>
            <w:t>4</w:t>
          </w:r>
          <w:r>
            <w:rPr>
              <w:rFonts w:ascii="Arial" w:eastAsia="Calibri" w:hAnsi="Arial" w:cs="Arial"/>
              <w:b/>
              <w:sz w:val="20"/>
              <w:szCs w:val="20"/>
            </w:rPr>
            <w:t xml:space="preserve"> Reporting</w:t>
          </w:r>
        </w:p>
      </w:tc>
    </w:tr>
    <w:tr w:rsidR="001C3A72" w:rsidRPr="00B922E1" w14:paraId="619031B4" w14:textId="77777777" w:rsidTr="00B56E56">
      <w:trPr>
        <w:trHeight w:hRule="exact" w:val="331"/>
      </w:trPr>
      <w:tc>
        <w:tcPr>
          <w:tcW w:w="1320" w:type="pct"/>
          <w:shd w:val="clear" w:color="auto" w:fill="auto"/>
          <w:vAlign w:val="bottom"/>
        </w:tcPr>
        <w:p w14:paraId="7A072F3A" w14:textId="77777777" w:rsidR="001C3A72" w:rsidRPr="00B922E1" w:rsidRDefault="000C5E7A"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SUPPLEMENT</w:t>
          </w:r>
        </w:p>
      </w:tc>
      <w:tc>
        <w:tcPr>
          <w:tcW w:w="2369" w:type="pct"/>
          <w:shd w:val="clear" w:color="auto" w:fill="auto"/>
          <w:vAlign w:val="bottom"/>
        </w:tcPr>
        <w:p w14:paraId="00ABAD20" w14:textId="77777777" w:rsidR="001C3A72" w:rsidRPr="00B922E1" w:rsidRDefault="001C3A72" w:rsidP="00902FEE">
          <w:pPr>
            <w:tabs>
              <w:tab w:val="center" w:pos="1152"/>
              <w:tab w:val="center" w:pos="7920"/>
            </w:tabs>
            <w:jc w:val="center"/>
            <w:rPr>
              <w:rFonts w:ascii="Arial" w:eastAsia="Calibri" w:hAnsi="Arial" w:cs="Arial"/>
              <w:b/>
              <w:sz w:val="20"/>
              <w:szCs w:val="20"/>
            </w:rPr>
          </w:pPr>
        </w:p>
      </w:tc>
      <w:tc>
        <w:tcPr>
          <w:tcW w:w="1311" w:type="pct"/>
          <w:shd w:val="clear" w:color="auto" w:fill="auto"/>
          <w:vAlign w:val="bottom"/>
        </w:tcPr>
        <w:p w14:paraId="551D569A" w14:textId="77777777" w:rsidR="001C3A72" w:rsidRPr="00B922E1" w:rsidRDefault="000C5E7A"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Section IV</w:t>
          </w:r>
        </w:p>
      </w:tc>
    </w:tr>
    <w:tr w:rsidR="001C3A72" w:rsidRPr="00B922E1" w14:paraId="01C3CC45" w14:textId="77777777" w:rsidTr="00B56E56">
      <w:trPr>
        <w:trHeight w:hRule="exact" w:val="288"/>
      </w:trPr>
      <w:tc>
        <w:tcPr>
          <w:tcW w:w="5000" w:type="pct"/>
          <w:gridSpan w:val="3"/>
          <w:shd w:val="clear" w:color="auto" w:fill="auto"/>
          <w:vAlign w:val="center"/>
        </w:tcPr>
        <w:p w14:paraId="73CFB0F0" w14:textId="77777777" w:rsidR="001C3A72" w:rsidRPr="00B922E1" w:rsidRDefault="000C5E7A" w:rsidP="00902FEE">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U.S. Standard General Ledger - Account Attribute Definition Report</w:t>
          </w:r>
        </w:p>
      </w:tc>
    </w:tr>
  </w:tbl>
  <w:tbl>
    <w:tblPr>
      <w:tblStyle w:val="TableGrid"/>
      <w:tblW w:w="14400" w:type="dxa"/>
      <w:shd w:val="clear" w:color="auto" w:fill="EEECE1" w:themeFill="background2"/>
      <w:tblLayout w:type="fixed"/>
      <w:tblCellMar>
        <w:left w:w="29" w:type="dxa"/>
        <w:right w:w="29" w:type="dxa"/>
      </w:tblCellMar>
      <w:tblLook w:val="04A0" w:firstRow="1" w:lastRow="0" w:firstColumn="1" w:lastColumn="0" w:noHBand="0" w:noVBand="1"/>
    </w:tblPr>
    <w:tblGrid>
      <w:gridCol w:w="2161"/>
      <w:gridCol w:w="1440"/>
      <w:gridCol w:w="5042"/>
      <w:gridCol w:w="2881"/>
      <w:gridCol w:w="721"/>
      <w:gridCol w:w="1293"/>
      <w:gridCol w:w="862"/>
    </w:tblGrid>
    <w:tr w:rsidR="00CF70C5" w:rsidRPr="003C088B" w14:paraId="7C79160C" w14:textId="77777777" w:rsidTr="00733544">
      <w:trPr>
        <w:trHeight w:val="541"/>
      </w:trPr>
      <w:tc>
        <w:tcPr>
          <w:tcW w:w="2165" w:type="dxa"/>
          <w:shd w:val="clear" w:color="auto" w:fill="EEECE1" w:themeFill="background2"/>
          <w:vAlign w:val="center"/>
        </w:tcPr>
        <w:p w14:paraId="4F8027E4"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Name</w:t>
          </w:r>
        </w:p>
      </w:tc>
      <w:tc>
        <w:tcPr>
          <w:tcW w:w="1443" w:type="dxa"/>
          <w:shd w:val="clear" w:color="auto" w:fill="EEECE1" w:themeFill="background2"/>
          <w:vAlign w:val="center"/>
        </w:tcPr>
        <w:p w14:paraId="028731D9"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Short</w:t>
          </w:r>
        </w:p>
        <w:p w14:paraId="178FF80C"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Name</w:t>
          </w:r>
        </w:p>
      </w:tc>
      <w:tc>
        <w:tcPr>
          <w:tcW w:w="5052" w:type="dxa"/>
          <w:shd w:val="clear" w:color="auto" w:fill="EEECE1" w:themeFill="background2"/>
          <w:vAlign w:val="center"/>
        </w:tcPr>
        <w:p w14:paraId="092BB045"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Definition</w:t>
          </w:r>
        </w:p>
      </w:tc>
      <w:tc>
        <w:tcPr>
          <w:tcW w:w="2887" w:type="dxa"/>
          <w:shd w:val="clear" w:color="auto" w:fill="EEECE1" w:themeFill="background2"/>
          <w:vAlign w:val="center"/>
        </w:tcPr>
        <w:p w14:paraId="6C15EB41"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Domain</w:t>
          </w:r>
        </w:p>
      </w:tc>
      <w:tc>
        <w:tcPr>
          <w:tcW w:w="722" w:type="dxa"/>
          <w:shd w:val="clear" w:color="auto" w:fill="EEECE1" w:themeFill="background2"/>
          <w:vAlign w:val="center"/>
        </w:tcPr>
        <w:p w14:paraId="1FEF128D"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Syst</w:t>
          </w:r>
          <w:r>
            <w:rPr>
              <w:rFonts w:ascii="Times New Roman" w:hAnsi="Times New Roman" w:cs="Times New Roman"/>
              <w:b/>
              <w:sz w:val="20"/>
              <w:szCs w:val="20"/>
            </w:rPr>
            <w:t>em</w:t>
          </w:r>
        </w:p>
        <w:p w14:paraId="31A78177"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Chars</w:t>
          </w:r>
        </w:p>
      </w:tc>
      <w:tc>
        <w:tcPr>
          <w:tcW w:w="1296" w:type="dxa"/>
          <w:shd w:val="clear" w:color="auto" w:fill="EEECE1" w:themeFill="background2"/>
          <w:vAlign w:val="center"/>
        </w:tcPr>
        <w:p w14:paraId="021E8EB2"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Reference</w:t>
          </w:r>
        </w:p>
      </w:tc>
      <w:tc>
        <w:tcPr>
          <w:tcW w:w="864" w:type="dxa"/>
          <w:shd w:val="clear" w:color="auto" w:fill="EEECE1" w:themeFill="background2"/>
          <w:vAlign w:val="center"/>
        </w:tcPr>
        <w:p w14:paraId="6954FBAF"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Supplied</w:t>
          </w:r>
        </w:p>
        <w:p w14:paraId="7C484B2E"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By</w:t>
          </w:r>
        </w:p>
      </w:tc>
    </w:tr>
  </w:tbl>
  <w:sdt>
    <w:sdtPr>
      <w:id w:val="1677535480"/>
      <w:docPartObj>
        <w:docPartGallery w:val="Watermarks"/>
        <w:docPartUnique/>
      </w:docPartObj>
    </w:sdtPr>
    <w:sdtContent>
      <w:p w14:paraId="4C4FD1C1" w14:textId="7BF9D4E8" w:rsidR="00CF70C5" w:rsidRDefault="009C3CB1" w:rsidP="008425B9">
        <w:pPr>
          <w:pStyle w:val="Header"/>
          <w:tabs>
            <w:tab w:val="clear" w:pos="4680"/>
            <w:tab w:val="right" w:pos="2160"/>
            <w:tab w:val="right" w:pos="3456"/>
            <w:tab w:val="right" w:pos="11520"/>
            <w:tab w:val="right" w:pos="12672"/>
            <w:tab w:val="right" w:pos="13536"/>
          </w:tabs>
          <w:spacing w:line="20" w:lineRule="exact"/>
        </w:pPr>
        <w:r>
          <w:rPr>
            <w:noProof/>
          </w:rPr>
          <w:pict w14:anchorId="45F3A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9CDB" w14:textId="77777777" w:rsidR="009C3CB1" w:rsidRDefault="009C3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64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71"/>
    <w:rsid w:val="00013AF6"/>
    <w:rsid w:val="00041CA6"/>
    <w:rsid w:val="00042790"/>
    <w:rsid w:val="0008795A"/>
    <w:rsid w:val="000C5E7A"/>
    <w:rsid w:val="00142BF7"/>
    <w:rsid w:val="00185D90"/>
    <w:rsid w:val="00187FFA"/>
    <w:rsid w:val="001B1379"/>
    <w:rsid w:val="001C3A72"/>
    <w:rsid w:val="00205BBC"/>
    <w:rsid w:val="002532FA"/>
    <w:rsid w:val="00393D1A"/>
    <w:rsid w:val="003C088B"/>
    <w:rsid w:val="003E58BF"/>
    <w:rsid w:val="003F084C"/>
    <w:rsid w:val="00403DC6"/>
    <w:rsid w:val="004308EA"/>
    <w:rsid w:val="0044768A"/>
    <w:rsid w:val="00452820"/>
    <w:rsid w:val="0046428D"/>
    <w:rsid w:val="004872A9"/>
    <w:rsid w:val="004F4A07"/>
    <w:rsid w:val="0052482A"/>
    <w:rsid w:val="00534202"/>
    <w:rsid w:val="00537B55"/>
    <w:rsid w:val="0055598D"/>
    <w:rsid w:val="005F6FB3"/>
    <w:rsid w:val="00615872"/>
    <w:rsid w:val="00621847"/>
    <w:rsid w:val="00697CFD"/>
    <w:rsid w:val="006A1DA8"/>
    <w:rsid w:val="006B5C9D"/>
    <w:rsid w:val="006D4F9F"/>
    <w:rsid w:val="00733544"/>
    <w:rsid w:val="007446E3"/>
    <w:rsid w:val="00753F71"/>
    <w:rsid w:val="007A021F"/>
    <w:rsid w:val="007D4E2A"/>
    <w:rsid w:val="008425B9"/>
    <w:rsid w:val="008F6EA2"/>
    <w:rsid w:val="00902184"/>
    <w:rsid w:val="009711B0"/>
    <w:rsid w:val="009848D4"/>
    <w:rsid w:val="009C3CB1"/>
    <w:rsid w:val="00A048F7"/>
    <w:rsid w:val="00A352CB"/>
    <w:rsid w:val="00A80AF6"/>
    <w:rsid w:val="00A9790A"/>
    <w:rsid w:val="00AA7A11"/>
    <w:rsid w:val="00AC4FCF"/>
    <w:rsid w:val="00B13010"/>
    <w:rsid w:val="00B16E7C"/>
    <w:rsid w:val="00B56E56"/>
    <w:rsid w:val="00BA2DE1"/>
    <w:rsid w:val="00BC031E"/>
    <w:rsid w:val="00BC29EA"/>
    <w:rsid w:val="00C740D2"/>
    <w:rsid w:val="00CF1BBE"/>
    <w:rsid w:val="00CF70C5"/>
    <w:rsid w:val="00DA4E84"/>
    <w:rsid w:val="00DF6F20"/>
    <w:rsid w:val="00E0124C"/>
    <w:rsid w:val="00E53EE0"/>
    <w:rsid w:val="00E76A38"/>
    <w:rsid w:val="00E87017"/>
    <w:rsid w:val="00EA470D"/>
    <w:rsid w:val="00EE749D"/>
    <w:rsid w:val="00F5447D"/>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339BB4D"/>
  <w15:docId w15:val="{76C6B3B0-8F23-4217-9A81-8DA18C36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C6"/>
    <w:pPr>
      <w:tabs>
        <w:tab w:val="center" w:pos="4680"/>
        <w:tab w:val="right" w:pos="9360"/>
      </w:tabs>
    </w:pPr>
  </w:style>
  <w:style w:type="character" w:customStyle="1" w:styleId="HeaderChar">
    <w:name w:val="Header Char"/>
    <w:basedOn w:val="DefaultParagraphFont"/>
    <w:link w:val="Header"/>
    <w:uiPriority w:val="99"/>
    <w:rsid w:val="00403DC6"/>
  </w:style>
  <w:style w:type="paragraph" w:styleId="Footer">
    <w:name w:val="footer"/>
    <w:basedOn w:val="Normal"/>
    <w:link w:val="FooterChar"/>
    <w:uiPriority w:val="99"/>
    <w:unhideWhenUsed/>
    <w:rsid w:val="00403DC6"/>
    <w:pPr>
      <w:tabs>
        <w:tab w:val="center" w:pos="4680"/>
        <w:tab w:val="right" w:pos="9360"/>
      </w:tabs>
    </w:pPr>
  </w:style>
  <w:style w:type="character" w:customStyle="1" w:styleId="FooterChar">
    <w:name w:val="Footer Char"/>
    <w:basedOn w:val="DefaultParagraphFont"/>
    <w:link w:val="Footer"/>
    <w:uiPriority w:val="99"/>
    <w:rsid w:val="00403DC6"/>
  </w:style>
  <w:style w:type="table" w:styleId="TableGrid">
    <w:name w:val="Table Grid"/>
    <w:basedOn w:val="TableNormal"/>
    <w:uiPriority w:val="59"/>
    <w:rsid w:val="00403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8BF"/>
    <w:rPr>
      <w:rFonts w:ascii="Tahoma" w:hAnsi="Tahoma" w:cs="Tahoma"/>
      <w:sz w:val="16"/>
      <w:szCs w:val="16"/>
    </w:rPr>
  </w:style>
  <w:style w:type="character" w:customStyle="1" w:styleId="BalloonTextChar">
    <w:name w:val="Balloon Text Char"/>
    <w:basedOn w:val="DefaultParagraphFont"/>
    <w:link w:val="BalloonText"/>
    <w:uiPriority w:val="99"/>
    <w:semiHidden/>
    <w:rsid w:val="003E58BF"/>
    <w:rPr>
      <w:rFonts w:ascii="Tahoma" w:hAnsi="Tahoma" w:cs="Tahoma"/>
      <w:sz w:val="16"/>
      <w:szCs w:val="16"/>
    </w:rPr>
  </w:style>
  <w:style w:type="paragraph" w:styleId="PlainText">
    <w:name w:val="Plain Text"/>
    <w:basedOn w:val="Normal"/>
    <w:link w:val="PlainTextChar"/>
    <w:uiPriority w:val="99"/>
    <w:unhideWhenUsed/>
    <w:rsid w:val="00CF70C5"/>
    <w:rPr>
      <w:rFonts w:ascii="Consolas" w:hAnsi="Consolas"/>
      <w:sz w:val="21"/>
      <w:szCs w:val="21"/>
    </w:rPr>
  </w:style>
  <w:style w:type="character" w:customStyle="1" w:styleId="PlainTextChar">
    <w:name w:val="Plain Text Char"/>
    <w:basedOn w:val="DefaultParagraphFont"/>
    <w:link w:val="PlainText"/>
    <w:uiPriority w:val="99"/>
    <w:rsid w:val="00CF70C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cp:lastModifiedBy>David K. Linscott II</cp:lastModifiedBy>
  <cp:revision>4</cp:revision>
  <dcterms:created xsi:type="dcterms:W3CDTF">2022-11-16T11:38:00Z</dcterms:created>
  <dcterms:modified xsi:type="dcterms:W3CDTF">2022-11-16T12:25:00Z</dcterms:modified>
  <cp:contentStatus/>
</cp:coreProperties>
</file>