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613B" w14:textId="6F786F1F" w:rsidR="00F52182" w:rsidRDefault="00F52182" w:rsidP="00C70A55">
      <w:pPr>
        <w:jc w:val="center"/>
        <w:rPr>
          <w:rFonts w:cstheme="minorHAnsi"/>
          <w:b/>
          <w:bCs/>
          <w:sz w:val="28"/>
          <w:szCs w:val="28"/>
          <w:u w:val="single"/>
        </w:rPr>
      </w:pPr>
      <w:r w:rsidRPr="00C70A55">
        <w:rPr>
          <w:rFonts w:cstheme="minorHAnsi"/>
          <w:b/>
          <w:bCs/>
          <w:sz w:val="28"/>
          <w:szCs w:val="28"/>
          <w:u w:val="single"/>
        </w:rPr>
        <w:t xml:space="preserve">Proprietary Transaction Code </w:t>
      </w:r>
      <w:r w:rsidR="00963836">
        <w:rPr>
          <w:rFonts w:cstheme="minorHAnsi"/>
          <w:b/>
          <w:bCs/>
          <w:sz w:val="28"/>
          <w:szCs w:val="28"/>
          <w:u w:val="single"/>
        </w:rPr>
        <w:t>Modifications</w:t>
      </w:r>
      <w:r w:rsidRPr="00C70A55">
        <w:rPr>
          <w:rFonts w:cstheme="minorHAnsi"/>
          <w:b/>
          <w:bCs/>
          <w:sz w:val="28"/>
          <w:szCs w:val="28"/>
          <w:u w:val="single"/>
        </w:rPr>
        <w:t xml:space="preserve"> (FY 202</w:t>
      </w:r>
      <w:r w:rsidR="007E00B6">
        <w:rPr>
          <w:rFonts w:cstheme="minorHAnsi"/>
          <w:b/>
          <w:bCs/>
          <w:sz w:val="28"/>
          <w:szCs w:val="28"/>
          <w:u w:val="single"/>
        </w:rPr>
        <w:t>4</w:t>
      </w:r>
      <w:r w:rsidRPr="00C70A55">
        <w:rPr>
          <w:rFonts w:cstheme="minorHAnsi"/>
          <w:b/>
          <w:bCs/>
          <w:sz w:val="28"/>
          <w:szCs w:val="28"/>
          <w:u w:val="single"/>
        </w:rPr>
        <w:t>)</w:t>
      </w:r>
    </w:p>
    <w:p w14:paraId="668BE0B1" w14:textId="018EF36D" w:rsidR="0058774F" w:rsidRPr="0058774F" w:rsidRDefault="0058774F" w:rsidP="0058774F">
      <w:pPr>
        <w:rPr>
          <w:rFonts w:cstheme="minorHAnsi"/>
          <w:b/>
          <w:bCs/>
          <w:sz w:val="24"/>
          <w:szCs w:val="24"/>
          <w:u w:val="single"/>
        </w:rPr>
      </w:pPr>
      <w:r w:rsidRPr="0058774F">
        <w:rPr>
          <w:rFonts w:cstheme="minorHAnsi"/>
          <w:b/>
          <w:bCs/>
          <w:sz w:val="24"/>
          <w:szCs w:val="24"/>
          <w:u w:val="single"/>
        </w:rPr>
        <w:t>Misc. Receipts &amp; Unexpended Appropriations p</w:t>
      </w:r>
      <w:r>
        <w:rPr>
          <w:rFonts w:cstheme="minorHAnsi"/>
          <w:b/>
          <w:bCs/>
          <w:sz w:val="24"/>
          <w:szCs w:val="24"/>
          <w:u w:val="single"/>
        </w:rPr>
        <w:t xml:space="preserve">ermanently reduce by legislative </w:t>
      </w:r>
      <w:proofErr w:type="gramStart"/>
      <w:r>
        <w:rPr>
          <w:rFonts w:cstheme="minorHAnsi"/>
          <w:b/>
          <w:bCs/>
          <w:sz w:val="24"/>
          <w:szCs w:val="24"/>
          <w:u w:val="single"/>
        </w:rPr>
        <w:t>action</w:t>
      </w:r>
      <w:proofErr w:type="gramEnd"/>
    </w:p>
    <w:p w14:paraId="37D8DDF7" w14:textId="790F29E9" w:rsidR="00F51D92" w:rsidRPr="00B42FC9" w:rsidRDefault="00C70A55"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sidRPr="00B42FC9">
        <w:rPr>
          <w:rFonts w:asciiTheme="minorHAnsi" w:hAnsiTheme="minorHAnsi" w:cstheme="minorHAnsi"/>
          <w:b/>
          <w:sz w:val="22"/>
          <w:szCs w:val="22"/>
        </w:rPr>
        <w:t xml:space="preserve">1) </w:t>
      </w:r>
      <w:r w:rsidR="00F51D92" w:rsidRPr="00B42FC9">
        <w:rPr>
          <w:rFonts w:asciiTheme="minorHAnsi" w:hAnsiTheme="minorHAnsi" w:cstheme="minorHAnsi"/>
          <w:b/>
          <w:sz w:val="22"/>
          <w:szCs w:val="22"/>
        </w:rPr>
        <w:t>A1</w:t>
      </w:r>
      <w:r w:rsidR="0058774F">
        <w:rPr>
          <w:rFonts w:asciiTheme="minorHAnsi" w:hAnsiTheme="minorHAnsi" w:cstheme="minorHAnsi"/>
          <w:b/>
          <w:sz w:val="22"/>
          <w:szCs w:val="22"/>
        </w:rPr>
        <w:t>44</w:t>
      </w:r>
      <w:r w:rsidRPr="00B42FC9">
        <w:rPr>
          <w:rFonts w:asciiTheme="minorHAnsi" w:hAnsiTheme="minorHAnsi" w:cstheme="minorHAnsi"/>
          <w:sz w:val="22"/>
          <w:szCs w:val="22"/>
        </w:rPr>
        <w:t xml:space="preserve"> </w:t>
      </w:r>
      <w:r w:rsidR="0058774F" w:rsidRPr="0058774F">
        <w:rPr>
          <w:rFonts w:asciiTheme="minorHAnsi" w:hAnsiTheme="minorHAnsi" w:cstheme="minorHAnsi"/>
          <w:sz w:val="22"/>
          <w:szCs w:val="22"/>
        </w:rPr>
        <w:t>To record unexpended appropriations (derived by non-expenditure transfer) permanently</w:t>
      </w:r>
      <w:r w:rsidR="00437818">
        <w:rPr>
          <w:rFonts w:asciiTheme="minorHAnsi" w:hAnsiTheme="minorHAnsi" w:cstheme="minorHAnsi"/>
          <w:sz w:val="22"/>
          <w:szCs w:val="22"/>
        </w:rPr>
        <w:t xml:space="preserve"> </w:t>
      </w:r>
      <w:r w:rsidR="0058774F" w:rsidRPr="0058774F">
        <w:rPr>
          <w:rFonts w:asciiTheme="minorHAnsi" w:hAnsiTheme="minorHAnsi" w:cstheme="minorHAnsi"/>
          <w:sz w:val="22"/>
          <w:szCs w:val="22"/>
        </w:rPr>
        <w:t>reduced by legislative action in General Fund Treasury Appropriation Fund Symbols (TAFS.)</w:t>
      </w:r>
    </w:p>
    <w:p w14:paraId="39773CEE" w14:textId="6F213AC3" w:rsidR="00F51D92" w:rsidRDefault="00F51D92"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r w:rsidRPr="0058774F">
        <w:rPr>
          <w:rFonts w:asciiTheme="minorHAnsi" w:hAnsiTheme="minorHAnsi" w:cstheme="minorHAnsi"/>
          <w:b/>
          <w:bCs/>
          <w:sz w:val="22"/>
          <w:szCs w:val="22"/>
        </w:rPr>
        <w:t>Comment:</w:t>
      </w:r>
      <w:r w:rsidR="00B42FC9" w:rsidRPr="00B42FC9">
        <w:rPr>
          <w:rFonts w:asciiTheme="minorHAnsi" w:hAnsiTheme="minorHAnsi" w:cstheme="minorHAnsi"/>
          <w:sz w:val="22"/>
          <w:szCs w:val="22"/>
        </w:rPr>
        <w:t xml:space="preserve"> </w:t>
      </w:r>
      <w:r w:rsidR="0058774F" w:rsidRPr="0058774F">
        <w:rPr>
          <w:rFonts w:asciiTheme="minorHAnsi" w:hAnsiTheme="minorHAnsi" w:cstheme="minorHAnsi"/>
          <w:sz w:val="22"/>
          <w:szCs w:val="22"/>
        </w:rPr>
        <w:t>Refer to Office of Management and Budget Circular No. A-11 for the definition of reductions. Reductions include rescissions, across-the-board reductions, and sequestrations. This transaction applies to a permanent reduction. Fund balance must be returned to a miscellaneous receipt account designated by OMB on an SF 1151, Non-expenditure Transfer, coded as a capital transfer. Credit USSGL account 299100 if withdrawal of funds does not occur simultaneously. Note: To return fund balance to the miscellaneous receipt account, also post USSGL TC A147.</w:t>
      </w:r>
    </w:p>
    <w:p w14:paraId="68D83888" w14:textId="77777777" w:rsidR="00D261A2" w:rsidRDefault="00D261A2" w:rsidP="00B42FC9">
      <w:pPr>
        <w:pStyle w:val="PlainText"/>
        <w:keepNext/>
        <w:keepLines/>
        <w:tabs>
          <w:tab w:val="left" w:pos="660"/>
          <w:tab w:val="left" w:pos="1840"/>
          <w:tab w:val="left" w:pos="2940"/>
          <w:tab w:val="left" w:pos="3140"/>
        </w:tabs>
        <w:spacing w:before="120"/>
        <w:jc w:val="both"/>
        <w:rPr>
          <w:rFonts w:asciiTheme="minorHAnsi" w:hAnsiTheme="minorHAnsi" w:cstheme="minorHAnsi"/>
          <w:sz w:val="22"/>
          <w:szCs w:val="22"/>
        </w:rPr>
      </w:pPr>
    </w:p>
    <w:p w14:paraId="5681CE3E" w14:textId="4B52A073" w:rsidR="00D261A2" w:rsidRPr="00D261A2" w:rsidRDefault="00D261A2" w:rsidP="00D261A2">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D261A2">
        <w:rPr>
          <w:rFonts w:asciiTheme="minorHAnsi" w:hAnsiTheme="minorHAnsi" w:cstheme="minorHAnsi"/>
          <w:b/>
          <w:sz w:val="22"/>
          <w:szCs w:val="22"/>
        </w:rPr>
        <w:t>Budgetary Entry</w:t>
      </w:r>
    </w:p>
    <w:p w14:paraId="48CB3389" w14:textId="56963B0D" w:rsidR="00D261A2" w:rsidRPr="00B42FC9" w:rsidRDefault="00D261A2" w:rsidP="00D261A2">
      <w:pPr>
        <w:pStyle w:val="PlainText"/>
        <w:keepNext/>
        <w:keepLines/>
        <w:tabs>
          <w:tab w:val="left" w:pos="660"/>
          <w:tab w:val="left" w:pos="1840"/>
          <w:tab w:val="left" w:pos="2940"/>
          <w:tab w:val="left" w:pos="3140"/>
        </w:tabs>
        <w:ind w:left="2940" w:hanging="2940"/>
        <w:jc w:val="both"/>
        <w:rPr>
          <w:rFonts w:asciiTheme="minorHAnsi" w:hAnsiTheme="minorHAnsi" w:cstheme="minorHAnsi"/>
          <w:sz w:val="22"/>
          <w:szCs w:val="22"/>
        </w:rPr>
      </w:pPr>
      <w:r w:rsidRPr="00B42FC9">
        <w:rPr>
          <w:rFonts w:asciiTheme="minorHAnsi" w:hAnsiTheme="minorHAnsi" w:cstheme="minorHAnsi"/>
          <w:sz w:val="22"/>
          <w:szCs w:val="22"/>
        </w:rPr>
        <w:t>Debit</w:t>
      </w:r>
      <w:r w:rsidRPr="00B42FC9">
        <w:rPr>
          <w:rFonts w:asciiTheme="minorHAnsi" w:hAnsiTheme="minorHAnsi" w:cstheme="minorHAnsi"/>
          <w:sz w:val="22"/>
          <w:szCs w:val="22"/>
        </w:rPr>
        <w:tab/>
      </w:r>
      <w:r>
        <w:rPr>
          <w:rFonts w:asciiTheme="minorHAnsi" w:hAnsiTheme="minorHAnsi" w:cstheme="minorHAnsi"/>
          <w:sz w:val="22"/>
          <w:szCs w:val="22"/>
        </w:rPr>
        <w:t>445000</w:t>
      </w:r>
      <w:r w:rsidRPr="00B42FC9">
        <w:rPr>
          <w:rFonts w:asciiTheme="minorHAnsi" w:hAnsiTheme="minorHAnsi" w:cstheme="minorHAnsi"/>
          <w:sz w:val="22"/>
          <w:szCs w:val="22"/>
        </w:rPr>
        <w:tab/>
      </w:r>
      <w:proofErr w:type="spellStart"/>
      <w:r>
        <w:rPr>
          <w:rFonts w:asciiTheme="minorHAnsi" w:hAnsiTheme="minorHAnsi" w:cstheme="minorHAnsi"/>
          <w:sz w:val="22"/>
          <w:szCs w:val="22"/>
        </w:rPr>
        <w:t>Unapportioned</w:t>
      </w:r>
      <w:proofErr w:type="spellEnd"/>
      <w:r>
        <w:rPr>
          <w:rFonts w:asciiTheme="minorHAnsi" w:hAnsiTheme="minorHAnsi" w:cstheme="minorHAnsi"/>
          <w:sz w:val="22"/>
          <w:szCs w:val="22"/>
        </w:rPr>
        <w:t xml:space="preserve"> – Unexpired Authority</w:t>
      </w:r>
    </w:p>
    <w:p w14:paraId="3BE22AFA" w14:textId="0FAB40C1" w:rsidR="00D261A2" w:rsidRPr="00B42FC9" w:rsidRDefault="00D261A2" w:rsidP="00D261A2">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B42FC9">
        <w:rPr>
          <w:rFonts w:asciiTheme="minorHAnsi" w:hAnsiTheme="minorHAnsi" w:cstheme="minorHAnsi"/>
          <w:sz w:val="22"/>
          <w:szCs w:val="22"/>
        </w:rPr>
        <w:tab/>
        <w:t xml:space="preserve">   Credit</w:t>
      </w:r>
      <w:r w:rsidRPr="00B42FC9">
        <w:rPr>
          <w:rFonts w:asciiTheme="minorHAnsi" w:hAnsiTheme="minorHAnsi" w:cstheme="minorHAnsi"/>
          <w:sz w:val="22"/>
          <w:szCs w:val="22"/>
        </w:rPr>
        <w:tab/>
        <w:t xml:space="preserve">   </w:t>
      </w:r>
      <w:r>
        <w:rPr>
          <w:rFonts w:asciiTheme="minorHAnsi" w:hAnsiTheme="minorHAnsi" w:cstheme="minorHAnsi"/>
          <w:sz w:val="22"/>
          <w:szCs w:val="22"/>
        </w:rPr>
        <w:t>439300</w:t>
      </w:r>
      <w:r>
        <w:rPr>
          <w:rFonts w:asciiTheme="minorHAnsi" w:hAnsiTheme="minorHAnsi" w:cstheme="minorHAnsi"/>
          <w:sz w:val="22"/>
          <w:szCs w:val="22"/>
        </w:rPr>
        <w:tab/>
        <w:t>Permanent Reduction – Prior-Year Balances</w:t>
      </w:r>
    </w:p>
    <w:p w14:paraId="2E6942F7" w14:textId="4EE60881"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173AC2AB" w14:textId="4D592E20" w:rsidR="00F51D92" w:rsidRDefault="00F51D92" w:rsidP="00C70A55">
      <w:pPr>
        <w:pStyle w:val="PlainText"/>
        <w:keepNext/>
        <w:keepLines/>
        <w:tabs>
          <w:tab w:val="left" w:pos="660"/>
          <w:tab w:val="left" w:pos="1840"/>
          <w:tab w:val="left" w:pos="2940"/>
          <w:tab w:val="left" w:pos="3140"/>
        </w:tabs>
        <w:ind w:left="2940" w:hanging="2940"/>
        <w:jc w:val="both"/>
        <w:rPr>
          <w:rFonts w:asciiTheme="minorHAnsi" w:hAnsiTheme="minorHAnsi" w:cstheme="minorHAnsi"/>
          <w:sz w:val="22"/>
          <w:szCs w:val="22"/>
        </w:rPr>
      </w:pPr>
      <w:r w:rsidRPr="00B42FC9">
        <w:rPr>
          <w:rFonts w:asciiTheme="minorHAnsi" w:hAnsiTheme="minorHAnsi" w:cstheme="minorHAnsi"/>
          <w:sz w:val="22"/>
          <w:szCs w:val="22"/>
        </w:rPr>
        <w:t>Debit</w:t>
      </w:r>
      <w:r w:rsidRPr="00B42FC9">
        <w:rPr>
          <w:rFonts w:asciiTheme="minorHAnsi" w:hAnsiTheme="minorHAnsi" w:cstheme="minorHAnsi"/>
          <w:sz w:val="22"/>
          <w:szCs w:val="22"/>
        </w:rPr>
        <w:tab/>
      </w:r>
      <w:r w:rsidR="0060755A">
        <w:rPr>
          <w:rFonts w:asciiTheme="minorHAnsi" w:hAnsiTheme="minorHAnsi" w:cstheme="minorHAnsi"/>
          <w:sz w:val="22"/>
          <w:szCs w:val="22"/>
        </w:rPr>
        <w:t>576600</w:t>
      </w:r>
      <w:r w:rsidRPr="00B42FC9">
        <w:rPr>
          <w:rFonts w:asciiTheme="minorHAnsi" w:hAnsiTheme="minorHAnsi" w:cstheme="minorHAnsi"/>
          <w:sz w:val="22"/>
          <w:szCs w:val="22"/>
        </w:rPr>
        <w:tab/>
      </w:r>
      <w:r w:rsidR="0060755A">
        <w:rPr>
          <w:rFonts w:asciiTheme="minorHAnsi" w:hAnsiTheme="minorHAnsi" w:cstheme="minorHAnsi"/>
          <w:sz w:val="22"/>
          <w:szCs w:val="22"/>
        </w:rPr>
        <w:t>Non-Expenditure Financing Sources – Transfers Out- Capital Transfers</w:t>
      </w:r>
    </w:p>
    <w:p w14:paraId="714B4F2C" w14:textId="46FCDE10" w:rsidR="0060755A" w:rsidRPr="00BD40C1" w:rsidRDefault="0060755A" w:rsidP="00C70A55">
      <w:pPr>
        <w:pStyle w:val="PlainText"/>
        <w:keepNext/>
        <w:keepLines/>
        <w:tabs>
          <w:tab w:val="left" w:pos="660"/>
          <w:tab w:val="left" w:pos="1840"/>
          <w:tab w:val="left" w:pos="2940"/>
          <w:tab w:val="left" w:pos="3140"/>
        </w:tabs>
        <w:ind w:left="2940" w:hanging="2940"/>
        <w:jc w:val="both"/>
        <w:rPr>
          <w:rFonts w:asciiTheme="minorHAnsi" w:hAnsiTheme="minorHAnsi" w:cstheme="minorHAnsi"/>
          <w:color w:val="2F5496" w:themeColor="accent1" w:themeShade="BF"/>
          <w:sz w:val="22"/>
          <w:szCs w:val="22"/>
        </w:rPr>
      </w:pPr>
      <w:r w:rsidRPr="00BD40C1">
        <w:rPr>
          <w:rFonts w:asciiTheme="minorHAnsi" w:hAnsiTheme="minorHAnsi" w:cstheme="minorHAnsi"/>
          <w:color w:val="2F5496" w:themeColor="accent1" w:themeShade="BF"/>
          <w:sz w:val="22"/>
          <w:szCs w:val="22"/>
        </w:rPr>
        <w:t>Debit</w:t>
      </w:r>
      <w:r w:rsidRPr="00BD40C1">
        <w:rPr>
          <w:rFonts w:asciiTheme="minorHAnsi" w:hAnsiTheme="minorHAnsi" w:cstheme="minorHAnsi"/>
          <w:color w:val="2F5496" w:themeColor="accent1" w:themeShade="BF"/>
          <w:sz w:val="22"/>
          <w:szCs w:val="22"/>
        </w:rPr>
        <w:tab/>
        <w:t>310300</w:t>
      </w:r>
      <w:r w:rsidRPr="00BD40C1">
        <w:rPr>
          <w:rFonts w:asciiTheme="minorHAnsi" w:hAnsiTheme="minorHAnsi" w:cstheme="minorHAnsi"/>
          <w:color w:val="2F5496" w:themeColor="accent1" w:themeShade="BF"/>
          <w:sz w:val="22"/>
          <w:szCs w:val="22"/>
        </w:rPr>
        <w:tab/>
        <w:t>Unexpended Appropriations – Transfer-Out</w:t>
      </w:r>
    </w:p>
    <w:p w14:paraId="444AD1CB" w14:textId="4181818C" w:rsidR="00F51D92" w:rsidRDefault="00F51D92"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B42FC9">
        <w:rPr>
          <w:rFonts w:asciiTheme="minorHAnsi" w:hAnsiTheme="minorHAnsi" w:cstheme="minorHAnsi"/>
          <w:sz w:val="22"/>
          <w:szCs w:val="22"/>
        </w:rPr>
        <w:tab/>
        <w:t xml:space="preserve">   Credit</w:t>
      </w:r>
      <w:r w:rsidRPr="00B42FC9">
        <w:rPr>
          <w:rFonts w:asciiTheme="minorHAnsi" w:hAnsiTheme="minorHAnsi" w:cstheme="minorHAnsi"/>
          <w:sz w:val="22"/>
          <w:szCs w:val="22"/>
        </w:rPr>
        <w:tab/>
        <w:t xml:space="preserve">   </w:t>
      </w:r>
      <w:r w:rsidR="0060755A">
        <w:rPr>
          <w:rFonts w:asciiTheme="minorHAnsi" w:hAnsiTheme="minorHAnsi" w:cstheme="minorHAnsi"/>
          <w:sz w:val="22"/>
          <w:szCs w:val="22"/>
        </w:rPr>
        <w:t>101000</w:t>
      </w:r>
      <w:r w:rsidRPr="00B42FC9">
        <w:rPr>
          <w:rFonts w:asciiTheme="minorHAnsi" w:hAnsiTheme="minorHAnsi" w:cstheme="minorHAnsi"/>
          <w:sz w:val="22"/>
          <w:szCs w:val="22"/>
        </w:rPr>
        <w:tab/>
      </w:r>
      <w:r w:rsidRPr="00B42FC9">
        <w:rPr>
          <w:rFonts w:asciiTheme="minorHAnsi" w:hAnsiTheme="minorHAnsi" w:cstheme="minorHAnsi"/>
          <w:sz w:val="22"/>
          <w:szCs w:val="22"/>
        </w:rPr>
        <w:tab/>
      </w:r>
      <w:r w:rsidR="0060755A">
        <w:rPr>
          <w:rFonts w:asciiTheme="minorHAnsi" w:hAnsiTheme="minorHAnsi" w:cstheme="minorHAnsi"/>
          <w:sz w:val="22"/>
          <w:szCs w:val="22"/>
        </w:rPr>
        <w:t xml:space="preserve">Fund Balance </w:t>
      </w:r>
      <w:proofErr w:type="gramStart"/>
      <w:r w:rsidR="0060755A">
        <w:rPr>
          <w:rFonts w:asciiTheme="minorHAnsi" w:hAnsiTheme="minorHAnsi" w:cstheme="minorHAnsi"/>
          <w:sz w:val="22"/>
          <w:szCs w:val="22"/>
        </w:rPr>
        <w:t>With</w:t>
      </w:r>
      <w:proofErr w:type="gramEnd"/>
      <w:r w:rsidR="0060755A">
        <w:rPr>
          <w:rFonts w:asciiTheme="minorHAnsi" w:hAnsiTheme="minorHAnsi" w:cstheme="minorHAnsi"/>
          <w:sz w:val="22"/>
          <w:szCs w:val="22"/>
        </w:rPr>
        <w:t xml:space="preserve"> Treasury</w:t>
      </w:r>
    </w:p>
    <w:p w14:paraId="2053BE5D" w14:textId="77777777" w:rsidR="00C4470B" w:rsidRPr="00B42FC9" w:rsidRDefault="00C4470B"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p>
    <w:p w14:paraId="6A566A2D" w14:textId="77777777" w:rsidR="003B675E" w:rsidRPr="00B42FC9" w:rsidRDefault="003B675E" w:rsidP="00C70A55">
      <w:pPr>
        <w:autoSpaceDE w:val="0"/>
        <w:autoSpaceDN w:val="0"/>
        <w:adjustRightInd w:val="0"/>
        <w:spacing w:after="0" w:line="240" w:lineRule="auto"/>
        <w:jc w:val="both"/>
        <w:rPr>
          <w:rFonts w:cstheme="minorHAnsi"/>
          <w:b/>
          <w:bCs/>
        </w:rPr>
      </w:pPr>
    </w:p>
    <w:p w14:paraId="141D0A45" w14:textId="711A3EA0" w:rsidR="009F18A1" w:rsidRDefault="009F18A1" w:rsidP="009F18A1">
      <w:pPr>
        <w:jc w:val="center"/>
        <w:rPr>
          <w:rFonts w:cstheme="minorHAnsi"/>
          <w:b/>
          <w:bCs/>
          <w:sz w:val="28"/>
          <w:szCs w:val="28"/>
          <w:u w:val="single"/>
        </w:rPr>
      </w:pPr>
      <w:r w:rsidRPr="00C70A55">
        <w:rPr>
          <w:rFonts w:cstheme="minorHAnsi"/>
          <w:b/>
          <w:bCs/>
          <w:sz w:val="28"/>
          <w:szCs w:val="28"/>
          <w:u w:val="single"/>
        </w:rPr>
        <w:t xml:space="preserve">Proprietary Transaction Code </w:t>
      </w:r>
      <w:r>
        <w:rPr>
          <w:rFonts w:cstheme="minorHAnsi"/>
          <w:b/>
          <w:bCs/>
          <w:sz w:val="28"/>
          <w:szCs w:val="28"/>
          <w:u w:val="single"/>
        </w:rPr>
        <w:t>Additions</w:t>
      </w:r>
      <w:r w:rsidRPr="00C70A55">
        <w:rPr>
          <w:rFonts w:cstheme="minorHAnsi"/>
          <w:b/>
          <w:bCs/>
          <w:sz w:val="28"/>
          <w:szCs w:val="28"/>
          <w:u w:val="single"/>
        </w:rPr>
        <w:t xml:space="preserve"> (FY 202</w:t>
      </w:r>
      <w:r>
        <w:rPr>
          <w:rFonts w:cstheme="minorHAnsi"/>
          <w:b/>
          <w:bCs/>
          <w:sz w:val="28"/>
          <w:szCs w:val="28"/>
          <w:u w:val="single"/>
        </w:rPr>
        <w:t>4</w:t>
      </w:r>
      <w:r w:rsidRPr="00C70A55">
        <w:rPr>
          <w:rFonts w:cstheme="minorHAnsi"/>
          <w:b/>
          <w:bCs/>
          <w:sz w:val="28"/>
          <w:szCs w:val="28"/>
          <w:u w:val="single"/>
        </w:rPr>
        <w:t>)</w:t>
      </w:r>
    </w:p>
    <w:p w14:paraId="7899AA32" w14:textId="77777777" w:rsidR="009F18A1" w:rsidRPr="0058774F" w:rsidRDefault="009F18A1" w:rsidP="009F18A1">
      <w:pPr>
        <w:rPr>
          <w:rFonts w:cstheme="minorHAnsi"/>
          <w:b/>
          <w:bCs/>
          <w:sz w:val="24"/>
          <w:szCs w:val="24"/>
          <w:u w:val="single"/>
        </w:rPr>
      </w:pPr>
      <w:r w:rsidRPr="0058774F">
        <w:rPr>
          <w:rFonts w:cstheme="minorHAnsi"/>
          <w:b/>
          <w:bCs/>
          <w:sz w:val="24"/>
          <w:szCs w:val="24"/>
          <w:u w:val="single"/>
        </w:rPr>
        <w:t>Misc. Receipts &amp; Unexpended Appropriations p</w:t>
      </w:r>
      <w:r>
        <w:rPr>
          <w:rFonts w:cstheme="minorHAnsi"/>
          <w:b/>
          <w:bCs/>
          <w:sz w:val="24"/>
          <w:szCs w:val="24"/>
          <w:u w:val="single"/>
        </w:rPr>
        <w:t xml:space="preserve">ermanently reduce by legislative </w:t>
      </w:r>
      <w:proofErr w:type="gramStart"/>
      <w:r>
        <w:rPr>
          <w:rFonts w:cstheme="minorHAnsi"/>
          <w:b/>
          <w:bCs/>
          <w:sz w:val="24"/>
          <w:szCs w:val="24"/>
          <w:u w:val="single"/>
        </w:rPr>
        <w:t>action</w:t>
      </w:r>
      <w:proofErr w:type="gramEnd"/>
    </w:p>
    <w:p w14:paraId="064E7448" w14:textId="63D9CA20" w:rsidR="00D31ED0" w:rsidRDefault="009F18A1" w:rsidP="009F18A1">
      <w:pPr>
        <w:pStyle w:val="PlainText"/>
        <w:keepNext/>
        <w:keepLines/>
        <w:tabs>
          <w:tab w:val="left" w:pos="660"/>
          <w:tab w:val="left" w:pos="1840"/>
          <w:tab w:val="left" w:pos="2940"/>
          <w:tab w:val="left" w:pos="3140"/>
        </w:tabs>
        <w:jc w:val="both"/>
        <w:rPr>
          <w:rFonts w:asciiTheme="minorHAnsi" w:hAnsiTheme="minorHAnsi" w:cstheme="minorHAnsi"/>
          <w:sz w:val="22"/>
          <w:szCs w:val="22"/>
        </w:rPr>
      </w:pPr>
      <w:r>
        <w:rPr>
          <w:rFonts w:asciiTheme="minorHAnsi" w:hAnsiTheme="minorHAnsi" w:cstheme="minorHAnsi"/>
          <w:b/>
          <w:sz w:val="22"/>
          <w:szCs w:val="22"/>
        </w:rPr>
        <w:t>1</w:t>
      </w:r>
      <w:r w:rsidR="00C70A55" w:rsidRPr="00B42FC9">
        <w:rPr>
          <w:rFonts w:asciiTheme="minorHAnsi" w:hAnsiTheme="minorHAnsi" w:cstheme="minorHAnsi"/>
          <w:b/>
          <w:sz w:val="22"/>
          <w:szCs w:val="22"/>
        </w:rPr>
        <w:t xml:space="preserve">) </w:t>
      </w:r>
      <w:r w:rsidR="00D31ED0">
        <w:rPr>
          <w:rFonts w:asciiTheme="minorHAnsi" w:hAnsiTheme="minorHAnsi" w:cstheme="minorHAnsi"/>
          <w:b/>
          <w:sz w:val="22"/>
          <w:szCs w:val="22"/>
        </w:rPr>
        <w:t xml:space="preserve">A203 </w:t>
      </w:r>
      <w:r w:rsidR="00D31ED0" w:rsidRPr="00D31ED0">
        <w:rPr>
          <w:rFonts w:asciiTheme="minorHAnsi" w:hAnsiTheme="minorHAnsi" w:cstheme="minorHAnsi"/>
          <w:sz w:val="22"/>
          <w:szCs w:val="22"/>
        </w:rPr>
        <w:t>To record in a miscellaneous receipt Treasury Appropriations Fund Symbol (TAFS) an amount that was permanently reduced by legislative action in special or trust Treasury Appropriation Fund Symbols (TAFS).</w:t>
      </w:r>
    </w:p>
    <w:p w14:paraId="5CE85975" w14:textId="77777777" w:rsidR="00D31ED0" w:rsidRDefault="00D31ED0" w:rsidP="00D31ED0">
      <w:pPr>
        <w:pStyle w:val="PlainText"/>
        <w:keepNext/>
        <w:keepLines/>
        <w:tabs>
          <w:tab w:val="left" w:pos="660"/>
          <w:tab w:val="left" w:pos="1840"/>
          <w:tab w:val="left" w:pos="2940"/>
          <w:tab w:val="left" w:pos="3140"/>
        </w:tabs>
        <w:ind w:left="660" w:hanging="660"/>
        <w:jc w:val="both"/>
        <w:rPr>
          <w:rFonts w:asciiTheme="minorHAnsi" w:hAnsiTheme="minorHAnsi" w:cstheme="minorHAnsi"/>
          <w:b/>
          <w:sz w:val="22"/>
          <w:szCs w:val="22"/>
        </w:rPr>
      </w:pPr>
    </w:p>
    <w:p w14:paraId="699DD33A" w14:textId="33D49E82" w:rsidR="00F51D92" w:rsidRDefault="00F51D92" w:rsidP="00B32570">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B42FC9">
        <w:rPr>
          <w:rFonts w:asciiTheme="minorHAnsi" w:hAnsiTheme="minorHAnsi" w:cstheme="minorHAnsi"/>
          <w:b/>
          <w:sz w:val="22"/>
          <w:szCs w:val="22"/>
        </w:rPr>
        <w:t>Comment:</w:t>
      </w:r>
      <w:r w:rsidR="00B42FC9" w:rsidRPr="00B42FC9">
        <w:rPr>
          <w:rFonts w:asciiTheme="minorHAnsi" w:hAnsiTheme="minorHAnsi" w:cstheme="minorHAnsi"/>
          <w:sz w:val="22"/>
          <w:szCs w:val="22"/>
        </w:rPr>
        <w:t xml:space="preserve"> </w:t>
      </w:r>
      <w:r w:rsidR="001A0827" w:rsidRPr="001A0827">
        <w:rPr>
          <w:rFonts w:asciiTheme="minorHAnsi" w:hAnsiTheme="minorHAnsi" w:cstheme="minorHAnsi"/>
          <w:sz w:val="22"/>
          <w:szCs w:val="22"/>
        </w:rPr>
        <w:t>Also post USSGL TC A134 in the related special or trust TAFS. To record the year end sweep</w:t>
      </w:r>
      <w:r w:rsidR="00B32570">
        <w:rPr>
          <w:rFonts w:asciiTheme="minorHAnsi" w:hAnsiTheme="minorHAnsi" w:cstheme="minorHAnsi"/>
          <w:sz w:val="22"/>
          <w:szCs w:val="22"/>
        </w:rPr>
        <w:t xml:space="preserve"> </w:t>
      </w:r>
      <w:r w:rsidR="001A0827" w:rsidRPr="001A0827">
        <w:rPr>
          <w:rFonts w:asciiTheme="minorHAnsi" w:hAnsiTheme="minorHAnsi" w:cstheme="minorHAnsi"/>
          <w:sz w:val="22"/>
          <w:szCs w:val="22"/>
        </w:rPr>
        <w:t>o</w:t>
      </w:r>
      <w:r w:rsidR="001A0827">
        <w:rPr>
          <w:rFonts w:asciiTheme="minorHAnsi" w:hAnsiTheme="minorHAnsi" w:cstheme="minorHAnsi"/>
          <w:sz w:val="22"/>
          <w:szCs w:val="22"/>
        </w:rPr>
        <w:t xml:space="preserve">f </w:t>
      </w:r>
      <w:r w:rsidR="001A0827" w:rsidRPr="001A0827">
        <w:rPr>
          <w:rFonts w:asciiTheme="minorHAnsi" w:hAnsiTheme="minorHAnsi" w:cstheme="minorHAnsi"/>
          <w:sz w:val="22"/>
          <w:szCs w:val="22"/>
        </w:rPr>
        <w:t>a General Fund Receipt Account, see USSGL TC C142 or C147</w:t>
      </w:r>
    </w:p>
    <w:p w14:paraId="35B08161" w14:textId="4F603A62" w:rsidR="001A0827" w:rsidRDefault="001A0827" w:rsidP="00D31ED0">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p>
    <w:p w14:paraId="2DBA30E3" w14:textId="77777777" w:rsidR="001A0827" w:rsidRPr="00D261A2" w:rsidRDefault="001A0827" w:rsidP="001A0827">
      <w:pPr>
        <w:pStyle w:val="PlainText"/>
        <w:keepNext/>
        <w:keepLines/>
        <w:tabs>
          <w:tab w:val="left" w:pos="660"/>
          <w:tab w:val="left" w:pos="1840"/>
          <w:tab w:val="left" w:pos="2940"/>
          <w:tab w:val="left" w:pos="3140"/>
        </w:tabs>
        <w:jc w:val="both"/>
        <w:rPr>
          <w:rFonts w:asciiTheme="minorHAnsi" w:hAnsiTheme="minorHAnsi" w:cstheme="minorHAnsi"/>
          <w:b/>
          <w:sz w:val="22"/>
          <w:szCs w:val="22"/>
        </w:rPr>
      </w:pPr>
      <w:r w:rsidRPr="00D261A2">
        <w:rPr>
          <w:rFonts w:asciiTheme="minorHAnsi" w:hAnsiTheme="minorHAnsi" w:cstheme="minorHAnsi"/>
          <w:b/>
          <w:sz w:val="22"/>
          <w:szCs w:val="22"/>
        </w:rPr>
        <w:t>Budgetary Entry</w:t>
      </w:r>
    </w:p>
    <w:p w14:paraId="39AC9AC4" w14:textId="71EBA206" w:rsidR="001A0827" w:rsidRPr="00B42FC9" w:rsidRDefault="001A0827" w:rsidP="0089091E">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Pr>
          <w:rFonts w:asciiTheme="minorHAnsi" w:hAnsiTheme="minorHAnsi" w:cstheme="minorHAnsi"/>
          <w:sz w:val="22"/>
          <w:szCs w:val="22"/>
        </w:rPr>
        <w:t>None</w:t>
      </w:r>
    </w:p>
    <w:p w14:paraId="6A606691" w14:textId="7943CD4A" w:rsidR="00F51D92" w:rsidRPr="00B42FC9" w:rsidRDefault="00F51D92" w:rsidP="00C70A55">
      <w:pPr>
        <w:pStyle w:val="PlainText"/>
        <w:keepNext/>
        <w:keepLines/>
        <w:tabs>
          <w:tab w:val="left" w:pos="660"/>
          <w:tab w:val="left" w:pos="1840"/>
          <w:tab w:val="left" w:pos="2940"/>
          <w:tab w:val="left" w:pos="3140"/>
        </w:tabs>
        <w:spacing w:before="120"/>
        <w:jc w:val="both"/>
        <w:rPr>
          <w:rFonts w:asciiTheme="minorHAnsi" w:hAnsiTheme="minorHAnsi" w:cstheme="minorHAnsi"/>
          <w:b/>
          <w:sz w:val="22"/>
          <w:szCs w:val="22"/>
        </w:rPr>
      </w:pPr>
      <w:r w:rsidRPr="00B42FC9">
        <w:rPr>
          <w:rFonts w:asciiTheme="minorHAnsi" w:hAnsiTheme="minorHAnsi" w:cstheme="minorHAnsi"/>
          <w:b/>
          <w:sz w:val="22"/>
          <w:szCs w:val="22"/>
        </w:rPr>
        <w:t>Proprietary Entry</w:t>
      </w:r>
    </w:p>
    <w:p w14:paraId="67F921D5" w14:textId="33286089" w:rsidR="00F51D92" w:rsidRPr="00B42FC9" w:rsidRDefault="00F51D92" w:rsidP="00513497">
      <w:pPr>
        <w:pStyle w:val="PlainText"/>
        <w:keepNext/>
        <w:keepLines/>
        <w:tabs>
          <w:tab w:val="left" w:pos="660"/>
          <w:tab w:val="left" w:pos="1840"/>
          <w:tab w:val="left" w:pos="2940"/>
          <w:tab w:val="left" w:pos="3140"/>
        </w:tabs>
        <w:ind w:left="2940" w:hanging="2940"/>
        <w:jc w:val="both"/>
        <w:rPr>
          <w:rFonts w:asciiTheme="minorHAnsi" w:hAnsiTheme="minorHAnsi" w:cstheme="minorHAnsi"/>
          <w:sz w:val="22"/>
          <w:szCs w:val="22"/>
        </w:rPr>
      </w:pPr>
      <w:r w:rsidRPr="00B42FC9">
        <w:rPr>
          <w:rFonts w:asciiTheme="minorHAnsi" w:hAnsiTheme="minorHAnsi" w:cstheme="minorHAnsi"/>
          <w:sz w:val="22"/>
          <w:szCs w:val="22"/>
        </w:rPr>
        <w:t>Debit</w:t>
      </w:r>
      <w:r w:rsidRPr="00B42FC9">
        <w:rPr>
          <w:rFonts w:asciiTheme="minorHAnsi" w:hAnsiTheme="minorHAnsi" w:cstheme="minorHAnsi"/>
          <w:sz w:val="22"/>
          <w:szCs w:val="22"/>
        </w:rPr>
        <w:tab/>
        <w:t>101000</w:t>
      </w:r>
      <w:r w:rsidRPr="00B42FC9">
        <w:rPr>
          <w:rFonts w:asciiTheme="minorHAnsi" w:hAnsiTheme="minorHAnsi" w:cstheme="minorHAnsi"/>
          <w:sz w:val="22"/>
          <w:szCs w:val="22"/>
        </w:rPr>
        <w:tab/>
        <w:t xml:space="preserve">Fund Balance </w:t>
      </w:r>
      <w:proofErr w:type="gramStart"/>
      <w:r w:rsidRPr="00B42FC9">
        <w:rPr>
          <w:rFonts w:asciiTheme="minorHAnsi" w:hAnsiTheme="minorHAnsi" w:cstheme="minorHAnsi"/>
          <w:sz w:val="22"/>
          <w:szCs w:val="22"/>
        </w:rPr>
        <w:t>With</w:t>
      </w:r>
      <w:proofErr w:type="gramEnd"/>
      <w:r w:rsidRPr="00B42FC9">
        <w:rPr>
          <w:rFonts w:asciiTheme="minorHAnsi" w:hAnsiTheme="minorHAnsi" w:cstheme="minorHAnsi"/>
          <w:sz w:val="22"/>
          <w:szCs w:val="22"/>
        </w:rPr>
        <w:t xml:space="preserve"> Treasury</w:t>
      </w:r>
    </w:p>
    <w:p w14:paraId="5B93DA6B" w14:textId="7EEFADCA" w:rsidR="00F51D92" w:rsidRPr="00B42FC9" w:rsidRDefault="00F51D92" w:rsidP="00C70A55">
      <w:pPr>
        <w:pStyle w:val="PlainText"/>
        <w:keepNext/>
        <w:keepLines/>
        <w:tabs>
          <w:tab w:val="left" w:pos="660"/>
          <w:tab w:val="left" w:pos="1840"/>
          <w:tab w:val="left" w:pos="2940"/>
          <w:tab w:val="left" w:pos="3140"/>
        </w:tabs>
        <w:ind w:left="3140" w:hanging="3140"/>
        <w:jc w:val="both"/>
        <w:rPr>
          <w:rFonts w:asciiTheme="minorHAnsi" w:hAnsiTheme="minorHAnsi" w:cstheme="minorHAnsi"/>
          <w:sz w:val="22"/>
          <w:szCs w:val="22"/>
        </w:rPr>
      </w:pPr>
      <w:r w:rsidRPr="00B42FC9">
        <w:rPr>
          <w:rFonts w:asciiTheme="minorHAnsi" w:hAnsiTheme="minorHAnsi" w:cstheme="minorHAnsi"/>
          <w:sz w:val="22"/>
          <w:szCs w:val="22"/>
        </w:rPr>
        <w:tab/>
        <w:t xml:space="preserve">   Credit</w:t>
      </w:r>
      <w:r w:rsidRPr="00B42FC9">
        <w:rPr>
          <w:rFonts w:asciiTheme="minorHAnsi" w:hAnsiTheme="minorHAnsi" w:cstheme="minorHAnsi"/>
          <w:sz w:val="22"/>
          <w:szCs w:val="22"/>
        </w:rPr>
        <w:tab/>
        <w:t xml:space="preserve">   </w:t>
      </w:r>
      <w:r w:rsidR="001A0827">
        <w:rPr>
          <w:rFonts w:asciiTheme="minorHAnsi" w:hAnsiTheme="minorHAnsi" w:cstheme="minorHAnsi"/>
          <w:sz w:val="22"/>
          <w:szCs w:val="22"/>
        </w:rPr>
        <w:t>575500</w:t>
      </w:r>
      <w:r w:rsidRPr="00B42FC9">
        <w:rPr>
          <w:rFonts w:asciiTheme="minorHAnsi" w:hAnsiTheme="minorHAnsi" w:cstheme="minorHAnsi"/>
          <w:sz w:val="22"/>
          <w:szCs w:val="22"/>
        </w:rPr>
        <w:tab/>
      </w:r>
      <w:r w:rsidRPr="00B42FC9">
        <w:rPr>
          <w:rFonts w:asciiTheme="minorHAnsi" w:hAnsiTheme="minorHAnsi" w:cstheme="minorHAnsi"/>
          <w:sz w:val="22"/>
          <w:szCs w:val="22"/>
        </w:rPr>
        <w:tab/>
      </w:r>
      <w:r w:rsidR="001A0827">
        <w:rPr>
          <w:rFonts w:asciiTheme="minorHAnsi" w:hAnsiTheme="minorHAnsi" w:cstheme="minorHAnsi"/>
          <w:sz w:val="22"/>
          <w:szCs w:val="22"/>
        </w:rPr>
        <w:t>Non-Expenditure Financing Sources – Transfers In- Other</w:t>
      </w:r>
    </w:p>
    <w:p w14:paraId="16C523BB" w14:textId="2DE0F3CA" w:rsidR="00F51D92" w:rsidRPr="00B42FC9" w:rsidRDefault="00F51D92" w:rsidP="00C70A55">
      <w:pPr>
        <w:autoSpaceDE w:val="0"/>
        <w:autoSpaceDN w:val="0"/>
        <w:adjustRightInd w:val="0"/>
        <w:spacing w:after="0" w:line="240" w:lineRule="auto"/>
        <w:jc w:val="both"/>
        <w:rPr>
          <w:rFonts w:cstheme="minorHAnsi"/>
          <w:b/>
          <w:bCs/>
        </w:rPr>
      </w:pPr>
    </w:p>
    <w:p w14:paraId="3C60AAD8" w14:textId="77777777" w:rsidR="00437818" w:rsidRDefault="00437818" w:rsidP="00437818">
      <w:pPr>
        <w:rPr>
          <w:rFonts w:cstheme="minorHAnsi"/>
          <w:b/>
          <w:bCs/>
          <w:sz w:val="24"/>
          <w:szCs w:val="24"/>
          <w:u w:val="single"/>
        </w:rPr>
      </w:pPr>
    </w:p>
    <w:p w14:paraId="4BD31F28" w14:textId="62251A33" w:rsidR="00437818" w:rsidRDefault="00437818" w:rsidP="00437818">
      <w:pPr>
        <w:rPr>
          <w:rFonts w:cstheme="minorHAnsi"/>
          <w:b/>
          <w:bCs/>
          <w:sz w:val="24"/>
          <w:szCs w:val="24"/>
          <w:u w:val="single"/>
        </w:rPr>
      </w:pPr>
    </w:p>
    <w:p w14:paraId="446AFADB" w14:textId="77777777" w:rsidR="002B02B5" w:rsidRDefault="002B02B5" w:rsidP="00437818">
      <w:pPr>
        <w:rPr>
          <w:rFonts w:cstheme="minorHAnsi"/>
          <w:b/>
          <w:bCs/>
          <w:sz w:val="24"/>
          <w:szCs w:val="24"/>
          <w:u w:val="single"/>
        </w:rPr>
      </w:pPr>
    </w:p>
    <w:p w14:paraId="44733FA4" w14:textId="77777777" w:rsidR="00437818" w:rsidRDefault="00437818" w:rsidP="00437818">
      <w:pPr>
        <w:rPr>
          <w:rFonts w:cstheme="minorHAnsi"/>
          <w:b/>
          <w:bCs/>
          <w:sz w:val="24"/>
          <w:szCs w:val="24"/>
          <w:u w:val="single"/>
        </w:rPr>
      </w:pPr>
    </w:p>
    <w:p w14:paraId="7310BEA4" w14:textId="77777777" w:rsidR="00C92C64" w:rsidRDefault="00C92C64" w:rsidP="00437818">
      <w:pPr>
        <w:rPr>
          <w:rFonts w:cstheme="minorHAnsi"/>
          <w:b/>
          <w:bCs/>
          <w:sz w:val="24"/>
          <w:szCs w:val="24"/>
          <w:u w:val="single"/>
        </w:rPr>
      </w:pPr>
    </w:p>
    <w:p w14:paraId="4EA61AF2" w14:textId="77777777" w:rsidR="00F804E6" w:rsidRDefault="00F804E6" w:rsidP="00437818">
      <w:pPr>
        <w:rPr>
          <w:rFonts w:cstheme="minorHAnsi"/>
          <w:b/>
          <w:bCs/>
          <w:sz w:val="24"/>
          <w:szCs w:val="24"/>
          <w:u w:val="single"/>
        </w:rPr>
      </w:pPr>
    </w:p>
    <w:p w14:paraId="6E9A1CD9" w14:textId="2E4CAD6E" w:rsidR="00437818" w:rsidRPr="0058774F" w:rsidRDefault="00295AE2" w:rsidP="00437818">
      <w:pPr>
        <w:rPr>
          <w:rFonts w:cstheme="minorHAnsi"/>
          <w:b/>
          <w:bCs/>
          <w:sz w:val="24"/>
          <w:szCs w:val="24"/>
          <w:u w:val="single"/>
        </w:rPr>
      </w:pPr>
      <w:r>
        <w:rPr>
          <w:rFonts w:cstheme="minorHAnsi"/>
          <w:b/>
          <w:bCs/>
          <w:sz w:val="24"/>
          <w:szCs w:val="24"/>
          <w:u w:val="single"/>
        </w:rPr>
        <w:lastRenderedPageBreak/>
        <w:t>Leases determined to be “Capital Leases” per OMB Budgetary Treatment</w:t>
      </w:r>
    </w:p>
    <w:p w14:paraId="357D27AB" w14:textId="2EFF4D3F" w:rsidR="00F51D92" w:rsidRDefault="00437818"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r>
        <w:rPr>
          <w:rFonts w:asciiTheme="minorHAnsi" w:hAnsiTheme="minorHAnsi" w:cstheme="minorHAnsi"/>
          <w:b/>
          <w:sz w:val="22"/>
          <w:szCs w:val="22"/>
        </w:rPr>
        <w:t>2</w:t>
      </w:r>
      <w:r w:rsidR="00C70A55" w:rsidRPr="00B42FC9">
        <w:rPr>
          <w:rFonts w:asciiTheme="minorHAnsi" w:hAnsiTheme="minorHAnsi" w:cstheme="minorHAnsi"/>
          <w:b/>
          <w:sz w:val="22"/>
          <w:szCs w:val="22"/>
        </w:rPr>
        <w:t xml:space="preserve">) </w:t>
      </w:r>
      <w:r w:rsidR="00C04FD2">
        <w:rPr>
          <w:rFonts w:asciiTheme="minorHAnsi" w:hAnsiTheme="minorHAnsi" w:cstheme="minorHAnsi"/>
          <w:b/>
          <w:bCs/>
          <w:sz w:val="22"/>
          <w:szCs w:val="22"/>
        </w:rPr>
        <w:t>B117</w:t>
      </w:r>
      <w:r w:rsidR="00C70A55" w:rsidRPr="00453070">
        <w:rPr>
          <w:rFonts w:asciiTheme="minorHAnsi" w:hAnsiTheme="minorHAnsi" w:cstheme="minorHAnsi"/>
          <w:b/>
          <w:bCs/>
          <w:sz w:val="22"/>
          <w:szCs w:val="22"/>
        </w:rPr>
        <w:t xml:space="preserve"> </w:t>
      </w:r>
      <w:r w:rsidR="00453070" w:rsidRPr="00453070">
        <w:rPr>
          <w:rFonts w:asciiTheme="minorHAnsi" w:hAnsiTheme="minorHAnsi" w:cstheme="minorHAnsi"/>
          <w:sz w:val="22"/>
          <w:szCs w:val="22"/>
        </w:rPr>
        <w:t>To record the amount of interest a Lessee accrues during an accrual period, per the proprietary amortization schedule.  The lessee should calculate the amortization of the discount on the lease liability and recognize that amount as interest expense for the period. (SFFAS 54, Par. 43</w:t>
      </w:r>
      <w:proofErr w:type="gramStart"/>
      <w:r w:rsidR="00453070" w:rsidRPr="00453070">
        <w:rPr>
          <w:rFonts w:asciiTheme="minorHAnsi" w:hAnsiTheme="minorHAnsi" w:cstheme="minorHAnsi"/>
          <w:sz w:val="22"/>
          <w:szCs w:val="22"/>
        </w:rPr>
        <w:t>)  This</w:t>
      </w:r>
      <w:proofErr w:type="gramEnd"/>
      <w:r w:rsidR="00453070" w:rsidRPr="00453070">
        <w:rPr>
          <w:rFonts w:asciiTheme="minorHAnsi" w:hAnsiTheme="minorHAnsi" w:cstheme="minorHAnsi"/>
          <w:sz w:val="22"/>
          <w:szCs w:val="22"/>
        </w:rPr>
        <w:t xml:space="preserve"> transaction is for leases determined to be “Capital Leases” for budgetary accounting purposes, only.</w:t>
      </w:r>
    </w:p>
    <w:p w14:paraId="4B63E112" w14:textId="51BE5C2F" w:rsidR="00453070" w:rsidRDefault="00453070" w:rsidP="00C70A55">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p>
    <w:p w14:paraId="0A63CB8D" w14:textId="230EF5A0" w:rsidR="00ED6C37" w:rsidRDefault="008A65F0" w:rsidP="0086459A">
      <w:pPr>
        <w:spacing w:after="0"/>
        <w:rPr>
          <w:rFonts w:cstheme="minorHAnsi"/>
        </w:rPr>
      </w:pPr>
      <w:r w:rsidRPr="0058774F">
        <w:rPr>
          <w:rFonts w:cstheme="minorHAnsi"/>
          <w:b/>
          <w:bCs/>
        </w:rPr>
        <w:t>Comment:</w:t>
      </w:r>
      <w:r>
        <w:rPr>
          <w:rFonts w:cstheme="minorHAnsi"/>
          <w:b/>
          <w:bCs/>
        </w:rPr>
        <w:t xml:space="preserve"> </w:t>
      </w:r>
      <w:r w:rsidR="001214A2" w:rsidRPr="001214A2">
        <w:rPr>
          <w:rFonts w:cstheme="minorHAnsi"/>
        </w:rPr>
        <w:t>This transaction is only for leases determined to be “Capital Leases” (per OMB Circular No. A-136, Appendix B) for budgetary accounting purposes.</w:t>
      </w:r>
    </w:p>
    <w:p w14:paraId="2D0E251A" w14:textId="77777777" w:rsidR="002B02B5" w:rsidRDefault="002B02B5" w:rsidP="0086459A">
      <w:pPr>
        <w:spacing w:after="0"/>
        <w:rPr>
          <w:rFonts w:cstheme="minorHAnsi"/>
        </w:rPr>
      </w:pPr>
    </w:p>
    <w:p w14:paraId="44685F9E" w14:textId="7ED3C6E0" w:rsidR="00ED6C37" w:rsidRDefault="00ED6C37" w:rsidP="0086459A">
      <w:pPr>
        <w:spacing w:after="0"/>
        <w:rPr>
          <w:rFonts w:cstheme="minorHAnsi"/>
          <w:b/>
          <w:bCs/>
        </w:rPr>
      </w:pPr>
      <w:r w:rsidRPr="00ED6C37">
        <w:rPr>
          <w:rFonts w:cstheme="minorHAnsi"/>
          <w:b/>
          <w:bCs/>
        </w:rPr>
        <w:t>Reference:</w:t>
      </w:r>
      <w:r w:rsidRPr="00ED6C37">
        <w:rPr>
          <w:rFonts w:cstheme="minorHAnsi"/>
        </w:rPr>
        <w:t xml:space="preserve"> If funded by a direct appropriation, also post USSGL TC-B134.</w:t>
      </w:r>
    </w:p>
    <w:p w14:paraId="78A6690C" w14:textId="77777777" w:rsidR="008A65F0" w:rsidRDefault="008A65F0" w:rsidP="0086459A">
      <w:pPr>
        <w:spacing w:after="0"/>
        <w:rPr>
          <w:rFonts w:cstheme="minorHAnsi"/>
          <w:b/>
          <w:bCs/>
        </w:rPr>
      </w:pPr>
    </w:p>
    <w:p w14:paraId="0AAC1D51" w14:textId="0EB9600C" w:rsidR="0086459A" w:rsidRPr="003D38C8" w:rsidRDefault="0086459A" w:rsidP="0086459A">
      <w:pPr>
        <w:spacing w:after="0"/>
        <w:rPr>
          <w:b/>
          <w:bCs/>
        </w:rPr>
      </w:pPr>
      <w:r w:rsidRPr="003D38C8">
        <w:rPr>
          <w:b/>
          <w:bCs/>
        </w:rPr>
        <w:t xml:space="preserve">Budgetary Entry </w:t>
      </w:r>
    </w:p>
    <w:p w14:paraId="07ED5232" w14:textId="77777777" w:rsidR="0086459A" w:rsidRDefault="0086459A" w:rsidP="0086459A">
      <w:pPr>
        <w:spacing w:after="0"/>
      </w:pPr>
      <w:r w:rsidRPr="003D38C8">
        <w:t xml:space="preserve">480100 Undelivered Orders – Obligations, Unpaid           </w:t>
      </w:r>
    </w:p>
    <w:p w14:paraId="0B05B242" w14:textId="44999015" w:rsidR="0086459A" w:rsidRDefault="0086459A" w:rsidP="00664C9C">
      <w:pPr>
        <w:spacing w:after="0"/>
        <w:ind w:firstLine="720"/>
      </w:pPr>
      <w:r w:rsidRPr="003D38C8">
        <w:t xml:space="preserve">490100 Delivered Orders – Obligations, Unpaid  </w:t>
      </w:r>
    </w:p>
    <w:p w14:paraId="74943E01" w14:textId="77777777" w:rsidR="0086459A" w:rsidRPr="003D38C8" w:rsidRDefault="0086459A" w:rsidP="0086459A">
      <w:pPr>
        <w:spacing w:after="0"/>
        <w:rPr>
          <w:b/>
          <w:bCs/>
        </w:rPr>
      </w:pPr>
      <w:r>
        <w:rPr>
          <w:b/>
          <w:bCs/>
        </w:rPr>
        <w:t>Proprietary</w:t>
      </w:r>
      <w:r w:rsidRPr="003D38C8">
        <w:rPr>
          <w:b/>
          <w:bCs/>
        </w:rPr>
        <w:t xml:space="preserve"> Entry </w:t>
      </w:r>
    </w:p>
    <w:p w14:paraId="761B96C2" w14:textId="77777777" w:rsidR="0086459A" w:rsidRDefault="0086459A" w:rsidP="0086459A">
      <w:pPr>
        <w:spacing w:after="0"/>
      </w:pPr>
      <w:r w:rsidRPr="003D38C8">
        <w:t xml:space="preserve">633000 Other Interest Expense         </w:t>
      </w:r>
    </w:p>
    <w:p w14:paraId="624DC722" w14:textId="0993D1C1" w:rsidR="0037736F" w:rsidRDefault="0086459A" w:rsidP="00F50EEE">
      <w:pPr>
        <w:spacing w:after="0"/>
        <w:ind w:firstLine="720"/>
      </w:pPr>
      <w:r w:rsidRPr="003D38C8">
        <w:t>214000 Accrued Interest Payable – Not Otherwise Classified</w:t>
      </w:r>
    </w:p>
    <w:p w14:paraId="34A5891A" w14:textId="77777777" w:rsidR="00017498" w:rsidRDefault="00017498" w:rsidP="0037736F">
      <w:pPr>
        <w:spacing w:after="0"/>
      </w:pPr>
    </w:p>
    <w:p w14:paraId="31BE9D20" w14:textId="7138D142" w:rsidR="0037736F" w:rsidRPr="00017498" w:rsidRDefault="00017498" w:rsidP="00017498">
      <w:pPr>
        <w:rPr>
          <w:rFonts w:cstheme="minorHAnsi"/>
          <w:b/>
          <w:bCs/>
          <w:sz w:val="24"/>
          <w:szCs w:val="24"/>
          <w:u w:val="single"/>
        </w:rPr>
      </w:pPr>
      <w:r>
        <w:rPr>
          <w:rFonts w:cstheme="minorHAnsi"/>
          <w:b/>
          <w:bCs/>
          <w:sz w:val="24"/>
          <w:szCs w:val="24"/>
          <w:u w:val="single"/>
        </w:rPr>
        <w:t xml:space="preserve">Leases </w:t>
      </w:r>
      <w:r w:rsidR="00F50EEE">
        <w:rPr>
          <w:rFonts w:cstheme="minorHAnsi"/>
          <w:b/>
          <w:bCs/>
          <w:sz w:val="24"/>
          <w:szCs w:val="24"/>
          <w:u w:val="single"/>
        </w:rPr>
        <w:t>Interest Accruals</w:t>
      </w:r>
    </w:p>
    <w:p w14:paraId="0B7E52B6" w14:textId="4FE618E9" w:rsidR="00B32570" w:rsidRDefault="0037736F" w:rsidP="00B32570">
      <w:r w:rsidRPr="00C4470B">
        <w:rPr>
          <w:b/>
          <w:bCs/>
        </w:rPr>
        <w:t>3)</w:t>
      </w:r>
      <w:r>
        <w:t xml:space="preserve"> </w:t>
      </w:r>
      <w:r w:rsidR="00D82AAD">
        <w:rPr>
          <w:b/>
          <w:bCs/>
        </w:rPr>
        <w:t>B145</w:t>
      </w:r>
      <w:r w:rsidR="00B32570">
        <w:t xml:space="preserve"> To record the amount of interest a Lessee accrues during an accrual period for a right-to-use lease, per the contractually required payment schedule. This </w:t>
      </w:r>
      <w:r w:rsidR="00F50EEE">
        <w:t xml:space="preserve">lease </w:t>
      </w:r>
      <w:r w:rsidR="00B32570">
        <w:t>transaction is for budgetary accounting purposes, only.</w:t>
      </w:r>
    </w:p>
    <w:p w14:paraId="0B085925" w14:textId="5FF995F1" w:rsidR="008C6934" w:rsidRDefault="008C6934" w:rsidP="008C6934">
      <w:pPr>
        <w:spacing w:after="0"/>
        <w:rPr>
          <w:rFonts w:cstheme="minorHAnsi"/>
          <w:b/>
          <w:bCs/>
        </w:rPr>
      </w:pPr>
      <w:r w:rsidRPr="0058774F">
        <w:rPr>
          <w:rFonts w:cstheme="minorHAnsi"/>
          <w:b/>
          <w:bCs/>
        </w:rPr>
        <w:t>Comment:</w:t>
      </w:r>
      <w:r>
        <w:rPr>
          <w:rFonts w:cstheme="minorHAnsi"/>
          <w:b/>
          <w:bCs/>
        </w:rPr>
        <w:t xml:space="preserve"> </w:t>
      </w:r>
      <w:r w:rsidRPr="00453070">
        <w:rPr>
          <w:rFonts w:cstheme="minorHAnsi"/>
        </w:rPr>
        <w:t xml:space="preserve">This </w:t>
      </w:r>
      <w:r w:rsidR="00F50EEE" w:rsidRPr="00453070">
        <w:rPr>
          <w:rFonts w:cstheme="minorHAnsi"/>
        </w:rPr>
        <w:t>lease</w:t>
      </w:r>
      <w:r w:rsidR="00F50EEE">
        <w:rPr>
          <w:rFonts w:cstheme="minorHAnsi"/>
        </w:rPr>
        <w:t xml:space="preserve"> </w:t>
      </w:r>
      <w:r w:rsidRPr="00453070">
        <w:rPr>
          <w:rFonts w:cstheme="minorHAnsi"/>
        </w:rPr>
        <w:t xml:space="preserve">transaction is for </w:t>
      </w:r>
      <w:r w:rsidR="00F50EEE" w:rsidRPr="00453070">
        <w:rPr>
          <w:rFonts w:cstheme="minorHAnsi"/>
        </w:rPr>
        <w:t>budgetary accounting purposes, only</w:t>
      </w:r>
      <w:r w:rsidR="00F50EEE">
        <w:rPr>
          <w:rFonts w:cstheme="minorHAnsi"/>
        </w:rPr>
        <w:t xml:space="preserve"> </w:t>
      </w:r>
      <w:r>
        <w:rPr>
          <w:rFonts w:cstheme="minorHAnsi"/>
        </w:rPr>
        <w:t>(per OMB Circular No. A-136, Appendix B</w:t>
      </w:r>
      <w:r w:rsidR="00F50EEE">
        <w:rPr>
          <w:rFonts w:cstheme="minorHAnsi"/>
        </w:rPr>
        <w:t>.</w:t>
      </w:r>
      <w:r>
        <w:rPr>
          <w:rFonts w:cstheme="minorHAnsi"/>
        </w:rPr>
        <w:t>)</w:t>
      </w:r>
    </w:p>
    <w:p w14:paraId="5E420752" w14:textId="77777777" w:rsidR="008C6934" w:rsidRDefault="008C6934" w:rsidP="008C6934">
      <w:pPr>
        <w:spacing w:after="0"/>
        <w:rPr>
          <w:b/>
          <w:bCs/>
        </w:rPr>
      </w:pPr>
    </w:p>
    <w:p w14:paraId="556389D7" w14:textId="5A50866E" w:rsidR="008C6934" w:rsidRPr="003D38C8" w:rsidRDefault="008C6934" w:rsidP="008C6934">
      <w:pPr>
        <w:spacing w:after="0"/>
        <w:rPr>
          <w:b/>
          <w:bCs/>
        </w:rPr>
      </w:pPr>
      <w:r w:rsidRPr="003D38C8">
        <w:rPr>
          <w:b/>
          <w:bCs/>
        </w:rPr>
        <w:t xml:space="preserve">Budgetary Entry </w:t>
      </w:r>
    </w:p>
    <w:p w14:paraId="66ABD9B7" w14:textId="77777777" w:rsidR="008C6934" w:rsidRDefault="008C6934" w:rsidP="008C6934">
      <w:pPr>
        <w:spacing w:after="0"/>
      </w:pPr>
      <w:r w:rsidRPr="003D38C8">
        <w:t xml:space="preserve">480100 Undelivered Orders – Obligations, Unpaid           </w:t>
      </w:r>
    </w:p>
    <w:p w14:paraId="592C48D6" w14:textId="40F0CF35" w:rsidR="008C6934" w:rsidRDefault="008C6934" w:rsidP="00C92C64">
      <w:pPr>
        <w:spacing w:after="0"/>
        <w:ind w:firstLine="720"/>
      </w:pPr>
      <w:r w:rsidRPr="003D38C8">
        <w:t xml:space="preserve">490100 Delivered Orders – Obligations, Unpaid  </w:t>
      </w:r>
    </w:p>
    <w:p w14:paraId="12F315D5" w14:textId="77777777" w:rsidR="008C6934" w:rsidRPr="003D38C8" w:rsidRDefault="008C6934" w:rsidP="008C6934">
      <w:pPr>
        <w:spacing w:after="0"/>
        <w:rPr>
          <w:b/>
          <w:bCs/>
        </w:rPr>
      </w:pPr>
      <w:r>
        <w:rPr>
          <w:b/>
          <w:bCs/>
        </w:rPr>
        <w:t>Proprietary</w:t>
      </w:r>
      <w:r w:rsidRPr="003D38C8">
        <w:rPr>
          <w:b/>
          <w:bCs/>
        </w:rPr>
        <w:t xml:space="preserve"> Entry </w:t>
      </w:r>
    </w:p>
    <w:p w14:paraId="129948ED" w14:textId="77777777" w:rsidR="008C6934" w:rsidRDefault="008C6934" w:rsidP="008C6934">
      <w:pPr>
        <w:spacing w:after="0"/>
      </w:pPr>
      <w:r>
        <w:t>None</w:t>
      </w:r>
    </w:p>
    <w:p w14:paraId="5F3BCE34" w14:textId="61506BAF" w:rsidR="006F6AB0" w:rsidRDefault="006F6AB0" w:rsidP="00C70A55">
      <w:pPr>
        <w:autoSpaceDE w:val="0"/>
        <w:autoSpaceDN w:val="0"/>
        <w:adjustRightInd w:val="0"/>
        <w:spacing w:after="0" w:line="240" w:lineRule="auto"/>
        <w:jc w:val="both"/>
        <w:rPr>
          <w:rFonts w:cstheme="minorHAnsi"/>
        </w:rPr>
      </w:pPr>
    </w:p>
    <w:p w14:paraId="2AF35E44" w14:textId="035C8D92" w:rsidR="00F50EEE" w:rsidRDefault="00F50EEE" w:rsidP="00F50EEE">
      <w:r w:rsidRPr="00F50EEE">
        <w:rPr>
          <w:b/>
          <w:bCs/>
        </w:rPr>
        <w:t xml:space="preserve">4) </w:t>
      </w:r>
      <w:r>
        <w:rPr>
          <w:b/>
          <w:bCs/>
        </w:rPr>
        <w:t>B</w:t>
      </w:r>
      <w:r w:rsidR="00EE215D">
        <w:rPr>
          <w:b/>
          <w:bCs/>
        </w:rPr>
        <w:t>419</w:t>
      </w:r>
      <w:r>
        <w:t xml:space="preserve"> To record the amount of interest a Lessee accrues during an accrual period for a right-to-use lease, per the </w:t>
      </w:r>
      <w:r w:rsidR="00B770B1">
        <w:t>proprietary amortization schedule</w:t>
      </w:r>
      <w:r>
        <w:t xml:space="preserve">.  </w:t>
      </w:r>
      <w:r w:rsidR="00B770B1">
        <w:t>This lease transaction is for proprietary accounting purposes, only.</w:t>
      </w:r>
    </w:p>
    <w:p w14:paraId="7F209CB2" w14:textId="4344606E" w:rsidR="00D1008A" w:rsidRDefault="00F50EEE" w:rsidP="00F50EEE">
      <w:pPr>
        <w:spacing w:after="0"/>
        <w:rPr>
          <w:rFonts w:ascii="Times New Roman" w:hAnsi="Times New Roman" w:cs="Times New Roman"/>
          <w:sz w:val="16"/>
          <w:szCs w:val="16"/>
        </w:rPr>
      </w:pPr>
      <w:r w:rsidRPr="0058774F">
        <w:rPr>
          <w:rFonts w:cstheme="minorHAnsi"/>
          <w:b/>
          <w:bCs/>
        </w:rPr>
        <w:t>Comment:</w:t>
      </w:r>
      <w:r>
        <w:rPr>
          <w:rFonts w:cstheme="minorHAnsi"/>
          <w:b/>
          <w:bCs/>
        </w:rPr>
        <w:t xml:space="preserve"> </w:t>
      </w:r>
      <w:r w:rsidR="00D1008A" w:rsidRPr="00453070">
        <w:rPr>
          <w:rFonts w:cstheme="minorHAnsi"/>
        </w:rPr>
        <w:t>This lease</w:t>
      </w:r>
      <w:r w:rsidR="00D1008A">
        <w:rPr>
          <w:rFonts w:cstheme="minorHAnsi"/>
        </w:rPr>
        <w:t xml:space="preserve"> </w:t>
      </w:r>
      <w:r w:rsidR="00D1008A" w:rsidRPr="00453070">
        <w:rPr>
          <w:rFonts w:cstheme="minorHAnsi"/>
        </w:rPr>
        <w:t xml:space="preserve">transaction is for </w:t>
      </w:r>
      <w:r w:rsidR="003469BC">
        <w:rPr>
          <w:rFonts w:cstheme="minorHAnsi"/>
        </w:rPr>
        <w:t>proprietary</w:t>
      </w:r>
      <w:r w:rsidR="00D1008A" w:rsidRPr="00453070">
        <w:rPr>
          <w:rFonts w:cstheme="minorHAnsi"/>
        </w:rPr>
        <w:t xml:space="preserve"> accounting purposes, only</w:t>
      </w:r>
      <w:r w:rsidR="00116D7C">
        <w:rPr>
          <w:rFonts w:cstheme="minorHAnsi"/>
        </w:rPr>
        <w:t xml:space="preserve">.  Per </w:t>
      </w:r>
      <w:r w:rsidR="00116D7C" w:rsidRPr="0017063D">
        <w:rPr>
          <w:rFonts w:cstheme="minorHAnsi"/>
        </w:rPr>
        <w:t>SFFAS 54, Par. 43, the lessee should calculate the amortization of the discount on the lease liability and recognize that amount as interest expense for the period.</w:t>
      </w:r>
    </w:p>
    <w:p w14:paraId="31342D8F" w14:textId="77777777" w:rsidR="00446737" w:rsidRDefault="00446737" w:rsidP="00F50EEE">
      <w:pPr>
        <w:spacing w:after="0"/>
        <w:rPr>
          <w:b/>
          <w:bCs/>
        </w:rPr>
      </w:pPr>
    </w:p>
    <w:p w14:paraId="3527A9B3" w14:textId="77777777" w:rsidR="00F50EEE" w:rsidRPr="003D38C8" w:rsidRDefault="00F50EEE" w:rsidP="00F50EEE">
      <w:pPr>
        <w:spacing w:after="0"/>
        <w:rPr>
          <w:b/>
          <w:bCs/>
        </w:rPr>
      </w:pPr>
      <w:r w:rsidRPr="003D38C8">
        <w:rPr>
          <w:b/>
          <w:bCs/>
        </w:rPr>
        <w:t xml:space="preserve">Budgetary Entry </w:t>
      </w:r>
    </w:p>
    <w:p w14:paraId="547B60A3" w14:textId="7149F3AD" w:rsidR="00F50EEE" w:rsidRDefault="004804BE" w:rsidP="00F50EEE">
      <w:pPr>
        <w:spacing w:after="0"/>
      </w:pPr>
      <w:r>
        <w:t>None</w:t>
      </w:r>
    </w:p>
    <w:p w14:paraId="1C3733F2" w14:textId="77777777" w:rsidR="00F50EEE" w:rsidRPr="003D38C8" w:rsidRDefault="00F50EEE" w:rsidP="00F50EEE">
      <w:pPr>
        <w:spacing w:after="0"/>
        <w:rPr>
          <w:b/>
          <w:bCs/>
        </w:rPr>
      </w:pPr>
      <w:r>
        <w:rPr>
          <w:b/>
          <w:bCs/>
        </w:rPr>
        <w:t>Proprietary</w:t>
      </w:r>
      <w:r w:rsidRPr="003D38C8">
        <w:rPr>
          <w:b/>
          <w:bCs/>
        </w:rPr>
        <w:t xml:space="preserve"> Entry </w:t>
      </w:r>
    </w:p>
    <w:p w14:paraId="0CD07F84" w14:textId="0C5445BB" w:rsidR="00F50EEE" w:rsidRDefault="00C92C64" w:rsidP="00F50EEE">
      <w:pPr>
        <w:spacing w:after="0"/>
      </w:pPr>
      <w:r>
        <w:t>633000</w:t>
      </w:r>
      <w:r>
        <w:tab/>
      </w:r>
      <w:r w:rsidRPr="00C92C64">
        <w:t>Other Interest Expense</w:t>
      </w:r>
    </w:p>
    <w:p w14:paraId="6343AB53" w14:textId="572685B7" w:rsidR="009E1AAB" w:rsidRDefault="00C92C64" w:rsidP="009E1AAB">
      <w:pPr>
        <w:spacing w:after="0"/>
      </w:pPr>
      <w:r>
        <w:rPr>
          <w:b/>
          <w:bCs/>
        </w:rPr>
        <w:tab/>
      </w:r>
      <w:r w:rsidRPr="00D62304">
        <w:t>214000</w:t>
      </w:r>
      <w:r w:rsidRPr="00D62304">
        <w:tab/>
      </w:r>
      <w:r w:rsidR="00D62304" w:rsidRPr="00D62304">
        <w:t>Accrued Interest Payable – Not Otherwise Classified</w:t>
      </w:r>
    </w:p>
    <w:p w14:paraId="67215FCD" w14:textId="6885776E" w:rsidR="00DD5459" w:rsidRPr="009E1AAB" w:rsidRDefault="00DD5459" w:rsidP="009E1AAB">
      <w:pPr>
        <w:spacing w:after="0"/>
        <w:rPr>
          <w:b/>
          <w:bCs/>
        </w:rPr>
      </w:pPr>
      <w:r>
        <w:rPr>
          <w:rFonts w:cstheme="minorHAnsi"/>
          <w:b/>
          <w:bCs/>
          <w:sz w:val="24"/>
          <w:szCs w:val="24"/>
          <w:u w:val="single"/>
        </w:rPr>
        <w:lastRenderedPageBreak/>
        <w:t>Leases Terminations and Modifications</w:t>
      </w:r>
    </w:p>
    <w:p w14:paraId="325553C4" w14:textId="2F1A0421" w:rsidR="003A147D" w:rsidRDefault="009E1AAB" w:rsidP="00576861">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Pr>
          <w:rFonts w:asciiTheme="minorHAnsi" w:hAnsiTheme="minorHAnsi" w:cstheme="minorHAnsi"/>
          <w:b/>
          <w:sz w:val="22"/>
          <w:szCs w:val="22"/>
        </w:rPr>
        <w:t>5</w:t>
      </w:r>
      <w:r w:rsidR="003A147D" w:rsidRPr="00B42FC9">
        <w:rPr>
          <w:rFonts w:asciiTheme="minorHAnsi" w:hAnsiTheme="minorHAnsi" w:cstheme="minorHAnsi"/>
          <w:b/>
          <w:sz w:val="22"/>
          <w:szCs w:val="22"/>
        </w:rPr>
        <w:t xml:space="preserve">) </w:t>
      </w:r>
      <w:r w:rsidR="0098209B">
        <w:rPr>
          <w:rFonts w:asciiTheme="minorHAnsi" w:hAnsiTheme="minorHAnsi" w:cstheme="minorHAnsi"/>
          <w:b/>
          <w:bCs/>
          <w:sz w:val="22"/>
          <w:szCs w:val="22"/>
        </w:rPr>
        <w:t>C731</w:t>
      </w:r>
      <w:r w:rsidR="003A147D" w:rsidRPr="00453070">
        <w:rPr>
          <w:rFonts w:asciiTheme="minorHAnsi" w:hAnsiTheme="minorHAnsi" w:cstheme="minorHAnsi"/>
          <w:b/>
          <w:bCs/>
          <w:sz w:val="22"/>
          <w:szCs w:val="22"/>
        </w:rPr>
        <w:t xml:space="preserve"> </w:t>
      </w:r>
      <w:r w:rsidR="003A147D" w:rsidRPr="00453070">
        <w:rPr>
          <w:rFonts w:asciiTheme="minorHAnsi" w:hAnsiTheme="minorHAnsi" w:cstheme="minorHAnsi"/>
          <w:sz w:val="22"/>
          <w:szCs w:val="22"/>
        </w:rPr>
        <w:t xml:space="preserve">To record </w:t>
      </w:r>
      <w:r w:rsidR="008E32FC">
        <w:rPr>
          <w:rFonts w:asciiTheme="minorHAnsi" w:hAnsiTheme="minorHAnsi" w:cstheme="minorHAnsi"/>
          <w:sz w:val="22"/>
          <w:szCs w:val="22"/>
        </w:rPr>
        <w:t>a lessee’s full or partial lease termination by</w:t>
      </w:r>
      <w:r w:rsidR="008E32FC" w:rsidRPr="008E32FC">
        <w:rPr>
          <w:rFonts w:asciiTheme="minorHAnsi" w:hAnsiTheme="minorHAnsi" w:cstheme="minorHAnsi"/>
          <w:sz w:val="22"/>
          <w:szCs w:val="22"/>
        </w:rPr>
        <w:t xml:space="preserve"> reduc</w:t>
      </w:r>
      <w:r w:rsidR="008E32FC">
        <w:rPr>
          <w:rFonts w:asciiTheme="minorHAnsi" w:hAnsiTheme="minorHAnsi" w:cstheme="minorHAnsi"/>
          <w:sz w:val="22"/>
          <w:szCs w:val="22"/>
        </w:rPr>
        <w:t>ing</w:t>
      </w:r>
      <w:r w:rsidR="008E32FC" w:rsidRPr="008E32FC">
        <w:rPr>
          <w:rFonts w:asciiTheme="minorHAnsi" w:hAnsiTheme="minorHAnsi" w:cstheme="minorHAnsi"/>
          <w:sz w:val="22"/>
          <w:szCs w:val="22"/>
        </w:rPr>
        <w:t xml:space="preserve"> the carrying values of the </w:t>
      </w:r>
      <w:r w:rsidR="00E804FA">
        <w:rPr>
          <w:rFonts w:asciiTheme="minorHAnsi" w:hAnsiTheme="minorHAnsi" w:cstheme="minorHAnsi"/>
          <w:sz w:val="22"/>
          <w:szCs w:val="22"/>
        </w:rPr>
        <w:t xml:space="preserve">right-to-use </w:t>
      </w:r>
      <w:r w:rsidR="008E32FC" w:rsidRPr="008E32FC">
        <w:rPr>
          <w:rFonts w:asciiTheme="minorHAnsi" w:hAnsiTheme="minorHAnsi" w:cstheme="minorHAnsi"/>
          <w:sz w:val="22"/>
          <w:szCs w:val="22"/>
        </w:rPr>
        <w:t>lease asset/</w:t>
      </w:r>
      <w:r w:rsidR="008E32FC">
        <w:rPr>
          <w:rFonts w:asciiTheme="minorHAnsi" w:hAnsiTheme="minorHAnsi" w:cstheme="minorHAnsi"/>
          <w:sz w:val="22"/>
          <w:szCs w:val="22"/>
        </w:rPr>
        <w:t xml:space="preserve">lease </w:t>
      </w:r>
      <w:r w:rsidR="008E32FC" w:rsidRPr="008E32FC">
        <w:rPr>
          <w:rFonts w:asciiTheme="minorHAnsi" w:hAnsiTheme="minorHAnsi" w:cstheme="minorHAnsi"/>
          <w:sz w:val="22"/>
          <w:szCs w:val="22"/>
        </w:rPr>
        <w:t>liability and recogniz</w:t>
      </w:r>
      <w:r w:rsidR="008E32FC">
        <w:rPr>
          <w:rFonts w:asciiTheme="minorHAnsi" w:hAnsiTheme="minorHAnsi" w:cstheme="minorHAnsi"/>
          <w:sz w:val="22"/>
          <w:szCs w:val="22"/>
        </w:rPr>
        <w:t>ing</w:t>
      </w:r>
      <w:r w:rsidR="008E32FC" w:rsidRPr="008E32FC">
        <w:rPr>
          <w:rFonts w:asciiTheme="minorHAnsi" w:hAnsiTheme="minorHAnsi" w:cstheme="minorHAnsi"/>
          <w:sz w:val="22"/>
          <w:szCs w:val="22"/>
        </w:rPr>
        <w:t xml:space="preserve"> a </w:t>
      </w:r>
      <w:r w:rsidR="008E32FC">
        <w:rPr>
          <w:rFonts w:asciiTheme="minorHAnsi" w:hAnsiTheme="minorHAnsi" w:cstheme="minorHAnsi"/>
          <w:sz w:val="22"/>
          <w:szCs w:val="22"/>
        </w:rPr>
        <w:t xml:space="preserve">respective </w:t>
      </w:r>
      <w:r w:rsidR="008E32FC" w:rsidRPr="008E32FC">
        <w:rPr>
          <w:rFonts w:asciiTheme="minorHAnsi" w:hAnsiTheme="minorHAnsi" w:cstheme="minorHAnsi"/>
          <w:sz w:val="22"/>
          <w:szCs w:val="22"/>
        </w:rPr>
        <w:t xml:space="preserve">gain/loss for </w:t>
      </w:r>
      <w:r w:rsidR="009057C8">
        <w:rPr>
          <w:rFonts w:asciiTheme="minorHAnsi" w:hAnsiTheme="minorHAnsi" w:cstheme="minorHAnsi"/>
          <w:sz w:val="22"/>
          <w:szCs w:val="22"/>
        </w:rPr>
        <w:t>any</w:t>
      </w:r>
      <w:r w:rsidR="008E32FC" w:rsidRPr="008E32FC">
        <w:rPr>
          <w:rFonts w:asciiTheme="minorHAnsi" w:hAnsiTheme="minorHAnsi" w:cstheme="minorHAnsi"/>
          <w:sz w:val="22"/>
          <w:szCs w:val="22"/>
        </w:rPr>
        <w:t xml:space="preserve"> difference</w:t>
      </w:r>
      <w:r w:rsidR="008E32FC">
        <w:rPr>
          <w:rFonts w:asciiTheme="minorHAnsi" w:hAnsiTheme="minorHAnsi" w:cstheme="minorHAnsi"/>
          <w:sz w:val="22"/>
          <w:szCs w:val="22"/>
        </w:rPr>
        <w:t>s.</w:t>
      </w:r>
    </w:p>
    <w:p w14:paraId="0E7B558E" w14:textId="77777777" w:rsidR="003A147D" w:rsidRDefault="003A147D" w:rsidP="003A147D">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p>
    <w:p w14:paraId="09E63DEC" w14:textId="6C8E1AC3" w:rsidR="009A36D4" w:rsidRDefault="009A36D4" w:rsidP="009A36D4">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r>
        <w:rPr>
          <w:rFonts w:asciiTheme="minorHAnsi" w:hAnsiTheme="minorHAnsi" w:cstheme="minorHAnsi"/>
          <w:b/>
          <w:sz w:val="22"/>
          <w:szCs w:val="22"/>
        </w:rPr>
        <w:t xml:space="preserve">Comment: </w:t>
      </w:r>
      <w:r>
        <w:rPr>
          <w:rFonts w:asciiTheme="minorHAnsi" w:hAnsiTheme="minorHAnsi" w:cstheme="minorHAnsi"/>
          <w:sz w:val="22"/>
          <w:szCs w:val="22"/>
        </w:rPr>
        <w:t xml:space="preserve">If the lease termination is a result of the lessee purchasing the underlying asset from the lessor, </w:t>
      </w:r>
      <w:r w:rsidRPr="009A36D4">
        <w:rPr>
          <w:rFonts w:asciiTheme="minorHAnsi" w:hAnsiTheme="minorHAnsi" w:cstheme="minorHAnsi"/>
          <w:sz w:val="22"/>
          <w:szCs w:val="22"/>
        </w:rPr>
        <w:t xml:space="preserve">the </w:t>
      </w:r>
      <w:r w:rsidR="007A5B65">
        <w:rPr>
          <w:rFonts w:asciiTheme="minorHAnsi" w:hAnsiTheme="minorHAnsi" w:cstheme="minorHAnsi"/>
          <w:sz w:val="22"/>
          <w:szCs w:val="22"/>
        </w:rPr>
        <w:t>lease</w:t>
      </w:r>
      <w:r w:rsidRPr="009A36D4">
        <w:rPr>
          <w:rFonts w:asciiTheme="minorHAnsi" w:hAnsiTheme="minorHAnsi" w:cstheme="minorHAnsi"/>
          <w:sz w:val="22"/>
          <w:szCs w:val="22"/>
        </w:rPr>
        <w:t xml:space="preserve"> asset should </w:t>
      </w:r>
      <w:r w:rsidR="006E2DC3">
        <w:rPr>
          <w:rFonts w:asciiTheme="minorHAnsi" w:hAnsiTheme="minorHAnsi" w:cstheme="minorHAnsi"/>
          <w:sz w:val="22"/>
          <w:szCs w:val="22"/>
        </w:rPr>
        <w:t xml:space="preserve">instead </w:t>
      </w:r>
      <w:r w:rsidRPr="009A36D4">
        <w:rPr>
          <w:rFonts w:asciiTheme="minorHAnsi" w:hAnsiTheme="minorHAnsi" w:cstheme="minorHAnsi"/>
          <w:sz w:val="22"/>
          <w:szCs w:val="22"/>
        </w:rPr>
        <w:t xml:space="preserve">be </w:t>
      </w:r>
      <w:r w:rsidR="00CC0033">
        <w:rPr>
          <w:rFonts w:asciiTheme="minorHAnsi" w:hAnsiTheme="minorHAnsi" w:cstheme="minorHAnsi"/>
          <w:sz w:val="22"/>
          <w:szCs w:val="22"/>
        </w:rPr>
        <w:t>reclassified to the appropriate PP&amp;E SGL.</w:t>
      </w:r>
    </w:p>
    <w:p w14:paraId="62DCEFE8" w14:textId="77777777" w:rsidR="009A36D4" w:rsidRDefault="009A36D4" w:rsidP="00576861">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p>
    <w:p w14:paraId="11BCBDBF" w14:textId="2B4274A1" w:rsidR="00E804FA" w:rsidRPr="00576861" w:rsidRDefault="00E804FA" w:rsidP="00576861">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r w:rsidRPr="00546ADF">
        <w:rPr>
          <w:rFonts w:asciiTheme="minorHAnsi" w:hAnsiTheme="minorHAnsi" w:cstheme="minorHAnsi"/>
          <w:b/>
          <w:sz w:val="22"/>
          <w:szCs w:val="22"/>
        </w:rPr>
        <w:t>Reference</w:t>
      </w:r>
      <w:r w:rsidR="003A147D" w:rsidRPr="00546ADF">
        <w:rPr>
          <w:rFonts w:asciiTheme="minorHAnsi" w:hAnsiTheme="minorHAnsi" w:cstheme="minorHAnsi"/>
          <w:b/>
          <w:sz w:val="22"/>
          <w:szCs w:val="22"/>
        </w:rPr>
        <w:t>:</w:t>
      </w:r>
      <w:r w:rsidRPr="00576861">
        <w:rPr>
          <w:rFonts w:asciiTheme="minorHAnsi" w:hAnsiTheme="minorHAnsi" w:cstheme="minorHAnsi"/>
          <w:b/>
          <w:sz w:val="22"/>
          <w:szCs w:val="22"/>
        </w:rPr>
        <w:t xml:space="preserve"> </w:t>
      </w:r>
      <w:r w:rsidR="00150446" w:rsidRPr="00576861">
        <w:rPr>
          <w:rFonts w:asciiTheme="minorHAnsi" w:hAnsiTheme="minorHAnsi" w:cstheme="minorHAnsi"/>
          <w:bCs/>
          <w:sz w:val="22"/>
          <w:szCs w:val="22"/>
        </w:rPr>
        <w:t>Please refer to definition</w:t>
      </w:r>
      <w:r w:rsidR="00150446">
        <w:rPr>
          <w:rFonts w:asciiTheme="minorHAnsi" w:hAnsiTheme="minorHAnsi" w:cstheme="minorHAnsi"/>
          <w:bCs/>
          <w:sz w:val="22"/>
          <w:szCs w:val="22"/>
        </w:rPr>
        <w:t>/</w:t>
      </w:r>
      <w:r w:rsidR="00150446" w:rsidRPr="00576861">
        <w:rPr>
          <w:rFonts w:asciiTheme="minorHAnsi" w:hAnsiTheme="minorHAnsi" w:cstheme="minorHAnsi"/>
          <w:bCs/>
          <w:sz w:val="22"/>
          <w:szCs w:val="22"/>
        </w:rPr>
        <w:t>s</w:t>
      </w:r>
      <w:r w:rsidR="00150446">
        <w:rPr>
          <w:rFonts w:asciiTheme="minorHAnsi" w:hAnsiTheme="minorHAnsi" w:cstheme="minorHAnsi"/>
          <w:bCs/>
          <w:sz w:val="22"/>
          <w:szCs w:val="22"/>
        </w:rPr>
        <w:t>cope</w:t>
      </w:r>
      <w:r w:rsidR="00150446" w:rsidRPr="00576861">
        <w:rPr>
          <w:rFonts w:asciiTheme="minorHAnsi" w:hAnsiTheme="minorHAnsi" w:cstheme="minorHAnsi"/>
          <w:bCs/>
          <w:sz w:val="22"/>
          <w:szCs w:val="22"/>
        </w:rPr>
        <w:t xml:space="preserve"> of lease terminations and the appropriate accounting guidance within SFFAS 54, Pars. 80-83.</w:t>
      </w:r>
    </w:p>
    <w:p w14:paraId="5B4E2BD1" w14:textId="10C7FE30" w:rsidR="003A147D" w:rsidRDefault="003A147D" w:rsidP="003A147D">
      <w:pPr>
        <w:spacing w:after="0"/>
        <w:rPr>
          <w:rFonts w:cstheme="minorHAnsi"/>
          <w:b/>
          <w:bCs/>
        </w:rPr>
      </w:pPr>
    </w:p>
    <w:p w14:paraId="60F3D76D" w14:textId="77777777" w:rsidR="003A147D" w:rsidRPr="003D38C8" w:rsidRDefault="003A147D" w:rsidP="003A147D">
      <w:pPr>
        <w:spacing w:after="0"/>
        <w:rPr>
          <w:b/>
          <w:bCs/>
        </w:rPr>
      </w:pPr>
      <w:r w:rsidRPr="003D38C8">
        <w:rPr>
          <w:b/>
          <w:bCs/>
        </w:rPr>
        <w:t xml:space="preserve">Budgetary Entry </w:t>
      </w:r>
    </w:p>
    <w:p w14:paraId="5AA95C49" w14:textId="70F04F4C" w:rsidR="003A147D" w:rsidRDefault="00E804FA" w:rsidP="00E804FA">
      <w:pPr>
        <w:spacing w:after="0"/>
      </w:pPr>
      <w:r>
        <w:t>None</w:t>
      </w:r>
    </w:p>
    <w:p w14:paraId="2E4643B2" w14:textId="77777777" w:rsidR="003A147D" w:rsidRDefault="003A147D" w:rsidP="003A147D">
      <w:pPr>
        <w:spacing w:after="0"/>
      </w:pPr>
    </w:p>
    <w:p w14:paraId="589FE213" w14:textId="77777777" w:rsidR="003A147D" w:rsidRPr="003D38C8" w:rsidRDefault="003A147D" w:rsidP="003A147D">
      <w:pPr>
        <w:spacing w:after="0"/>
        <w:rPr>
          <w:b/>
          <w:bCs/>
        </w:rPr>
      </w:pPr>
      <w:r>
        <w:rPr>
          <w:b/>
          <w:bCs/>
        </w:rPr>
        <w:t>Proprietary</w:t>
      </w:r>
      <w:r w:rsidRPr="003D38C8">
        <w:rPr>
          <w:b/>
          <w:bCs/>
        </w:rPr>
        <w:t xml:space="preserve"> Entry </w:t>
      </w:r>
    </w:p>
    <w:p w14:paraId="4B315EDB" w14:textId="50FCC3A0" w:rsidR="00CB6A49" w:rsidRDefault="00CB6A49" w:rsidP="003A147D">
      <w:pPr>
        <w:spacing w:after="0"/>
      </w:pPr>
      <w:r>
        <w:t xml:space="preserve">293000 </w:t>
      </w:r>
      <w:r w:rsidRPr="00CB6A49">
        <w:t>Lessee Lease Liability</w:t>
      </w:r>
    </w:p>
    <w:p w14:paraId="76114F04" w14:textId="77777777" w:rsidR="00CB6A49" w:rsidRDefault="00CB6A49" w:rsidP="003A147D">
      <w:pPr>
        <w:spacing w:after="0"/>
      </w:pPr>
      <w:r>
        <w:t xml:space="preserve">293010 </w:t>
      </w:r>
      <w:r w:rsidRPr="00CB6A49">
        <w:t xml:space="preserve">Unfunded Lease Liability </w:t>
      </w:r>
    </w:p>
    <w:p w14:paraId="08B0C7A6" w14:textId="11D0725C" w:rsidR="003A147D" w:rsidRDefault="00CB6A49" w:rsidP="003A147D">
      <w:pPr>
        <w:spacing w:after="0"/>
      </w:pPr>
      <w:r>
        <w:t>195900</w:t>
      </w:r>
      <w:r w:rsidR="003A147D" w:rsidRPr="003D38C8">
        <w:t xml:space="preserve"> </w:t>
      </w:r>
      <w:r w:rsidRPr="00CB6A49">
        <w:t>Accumulated Amortization on Lessee Lease Assets</w:t>
      </w:r>
    </w:p>
    <w:p w14:paraId="04BFF0E8" w14:textId="4F1C5D87" w:rsidR="00A52B19" w:rsidRDefault="00A52B19" w:rsidP="003A147D">
      <w:pPr>
        <w:spacing w:after="0"/>
      </w:pPr>
      <w:r>
        <w:t xml:space="preserve">721000 </w:t>
      </w:r>
      <w:r w:rsidRPr="00A52B19">
        <w:t>Losses on Disposition of Assets - Other</w:t>
      </w:r>
    </w:p>
    <w:p w14:paraId="00E7EF7E" w14:textId="774C09B9" w:rsidR="003A147D" w:rsidRDefault="001A4C4F" w:rsidP="003A147D">
      <w:pPr>
        <w:spacing w:after="0"/>
        <w:ind w:firstLine="720"/>
      </w:pPr>
      <w:r>
        <w:t>195000</w:t>
      </w:r>
      <w:r w:rsidR="003A147D" w:rsidRPr="003D38C8">
        <w:t xml:space="preserve"> </w:t>
      </w:r>
      <w:r w:rsidR="00F24DC3">
        <w:tab/>
      </w:r>
      <w:r w:rsidRPr="001A4C4F">
        <w:t>Lessee Right-To-Use Lease Asset</w:t>
      </w:r>
    </w:p>
    <w:p w14:paraId="1DE9BAEF" w14:textId="4D59F1BC" w:rsidR="001A4C4F" w:rsidRDefault="009E6E0C" w:rsidP="003A147D">
      <w:pPr>
        <w:spacing w:after="0"/>
        <w:ind w:firstLine="720"/>
      </w:pPr>
      <w:r>
        <w:t xml:space="preserve">711000 </w:t>
      </w:r>
      <w:r w:rsidRPr="009E6E0C">
        <w:t>Gains on Disposition of Assets - Other</w:t>
      </w:r>
    </w:p>
    <w:p w14:paraId="5CDB737D" w14:textId="77777777" w:rsidR="003A147D" w:rsidRDefault="003A147D" w:rsidP="003A147D">
      <w:pPr>
        <w:spacing w:after="0"/>
      </w:pPr>
    </w:p>
    <w:p w14:paraId="69EA5D86" w14:textId="77777777" w:rsidR="003A147D" w:rsidRDefault="003A147D" w:rsidP="003A147D">
      <w:pPr>
        <w:spacing w:after="0"/>
      </w:pPr>
    </w:p>
    <w:p w14:paraId="419C4B31" w14:textId="3C49D1B0" w:rsidR="009E4AEF" w:rsidRDefault="009E1AAB" w:rsidP="00576861">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DB72D0">
        <w:rPr>
          <w:rFonts w:asciiTheme="minorHAnsi" w:hAnsiTheme="minorHAnsi" w:cstheme="minorHAnsi"/>
          <w:b/>
          <w:sz w:val="22"/>
          <w:szCs w:val="22"/>
        </w:rPr>
        <w:t>6</w:t>
      </w:r>
      <w:r w:rsidR="003A147D" w:rsidRPr="00DB72D0">
        <w:rPr>
          <w:rFonts w:asciiTheme="minorHAnsi" w:hAnsiTheme="minorHAnsi" w:cstheme="minorHAnsi"/>
          <w:b/>
          <w:sz w:val="22"/>
          <w:szCs w:val="22"/>
        </w:rPr>
        <w:t>)</w:t>
      </w:r>
      <w:r w:rsidR="009E4AEF" w:rsidRPr="00101BEB">
        <w:rPr>
          <w:rFonts w:ascii="Calibri" w:hAnsi="Calibri" w:cs="Calibri"/>
          <w:b/>
          <w:bCs/>
        </w:rPr>
        <w:t xml:space="preserve"> </w:t>
      </w:r>
      <w:r w:rsidR="0098209B">
        <w:rPr>
          <w:rFonts w:ascii="Calibri" w:hAnsi="Calibri" w:cs="Calibri"/>
          <w:b/>
          <w:bCs/>
          <w:sz w:val="22"/>
          <w:szCs w:val="22"/>
        </w:rPr>
        <w:t>C732</w:t>
      </w:r>
      <w:r w:rsidR="009E4AEF" w:rsidRPr="00453070">
        <w:rPr>
          <w:rFonts w:asciiTheme="minorHAnsi" w:hAnsiTheme="minorHAnsi" w:cstheme="minorHAnsi"/>
          <w:b/>
          <w:bCs/>
          <w:sz w:val="22"/>
          <w:szCs w:val="22"/>
        </w:rPr>
        <w:t xml:space="preserve"> </w:t>
      </w:r>
      <w:r w:rsidR="009E4AEF" w:rsidRPr="00453070">
        <w:rPr>
          <w:rFonts w:asciiTheme="minorHAnsi" w:hAnsiTheme="minorHAnsi" w:cstheme="minorHAnsi"/>
          <w:sz w:val="22"/>
          <w:szCs w:val="22"/>
        </w:rPr>
        <w:t xml:space="preserve">To record </w:t>
      </w:r>
      <w:r w:rsidR="009E4AEF">
        <w:rPr>
          <w:rFonts w:asciiTheme="minorHAnsi" w:hAnsiTheme="minorHAnsi" w:cstheme="minorHAnsi"/>
          <w:sz w:val="22"/>
          <w:szCs w:val="22"/>
        </w:rPr>
        <w:t xml:space="preserve">a lessee’s lease </w:t>
      </w:r>
      <w:r w:rsidR="00EE3FDD">
        <w:rPr>
          <w:rFonts w:asciiTheme="minorHAnsi" w:hAnsiTheme="minorHAnsi" w:cstheme="minorHAnsi"/>
          <w:sz w:val="22"/>
          <w:szCs w:val="22"/>
        </w:rPr>
        <w:t>modification</w:t>
      </w:r>
      <w:r w:rsidR="00276751">
        <w:rPr>
          <w:rFonts w:asciiTheme="minorHAnsi" w:hAnsiTheme="minorHAnsi" w:cstheme="minorHAnsi"/>
          <w:sz w:val="22"/>
          <w:szCs w:val="22"/>
        </w:rPr>
        <w:t>,</w:t>
      </w:r>
      <w:r w:rsidR="009E4AEF">
        <w:rPr>
          <w:rFonts w:asciiTheme="minorHAnsi" w:hAnsiTheme="minorHAnsi" w:cstheme="minorHAnsi"/>
          <w:sz w:val="22"/>
          <w:szCs w:val="22"/>
        </w:rPr>
        <w:t xml:space="preserve"> </w:t>
      </w:r>
      <w:r w:rsidR="00276751">
        <w:rPr>
          <w:rFonts w:asciiTheme="minorHAnsi" w:hAnsiTheme="minorHAnsi" w:cstheme="minorHAnsi"/>
          <w:sz w:val="22"/>
          <w:szCs w:val="22"/>
        </w:rPr>
        <w:t>when</w:t>
      </w:r>
      <w:r w:rsidR="00B64E40">
        <w:rPr>
          <w:rFonts w:asciiTheme="minorHAnsi" w:hAnsiTheme="minorHAnsi" w:cstheme="minorHAnsi"/>
          <w:sz w:val="22"/>
          <w:szCs w:val="22"/>
        </w:rPr>
        <w:t xml:space="preserve"> </w:t>
      </w:r>
      <w:r w:rsidR="009D18EF">
        <w:rPr>
          <w:rFonts w:asciiTheme="minorHAnsi" w:hAnsiTheme="minorHAnsi" w:cstheme="minorHAnsi"/>
          <w:sz w:val="22"/>
          <w:szCs w:val="22"/>
        </w:rPr>
        <w:t>an</w:t>
      </w:r>
      <w:r w:rsidR="00B64E40">
        <w:rPr>
          <w:rFonts w:asciiTheme="minorHAnsi" w:hAnsiTheme="minorHAnsi" w:cstheme="minorHAnsi"/>
          <w:sz w:val="22"/>
          <w:szCs w:val="22"/>
        </w:rPr>
        <w:t xml:space="preserve"> amendment resulting in the modification is NOT reported as a separate lease</w:t>
      </w:r>
      <w:r w:rsidR="00DF0B03">
        <w:rPr>
          <w:rFonts w:asciiTheme="minorHAnsi" w:hAnsiTheme="minorHAnsi" w:cstheme="minorHAnsi"/>
          <w:sz w:val="22"/>
          <w:szCs w:val="22"/>
        </w:rPr>
        <w:t>, by remeasuring the lease liability and adjusting the lease asset</w:t>
      </w:r>
      <w:r w:rsidR="00D67DA3">
        <w:rPr>
          <w:rFonts w:asciiTheme="minorHAnsi" w:hAnsiTheme="minorHAnsi" w:cstheme="minorHAnsi"/>
          <w:sz w:val="22"/>
          <w:szCs w:val="22"/>
        </w:rPr>
        <w:t>.  If the change reduces the carrying value of the lease asset to zero, any remaining amount should be reported as a gain.</w:t>
      </w:r>
    </w:p>
    <w:p w14:paraId="23FD6F5E" w14:textId="77777777" w:rsidR="009E4AEF" w:rsidRDefault="009E4AEF" w:rsidP="00576861">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p>
    <w:p w14:paraId="3374B004" w14:textId="03BE7368" w:rsidR="009767F7" w:rsidRDefault="009767F7" w:rsidP="00576861">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r>
        <w:rPr>
          <w:rFonts w:asciiTheme="minorHAnsi" w:hAnsiTheme="minorHAnsi" w:cstheme="minorHAnsi"/>
          <w:b/>
          <w:sz w:val="22"/>
          <w:szCs w:val="22"/>
        </w:rPr>
        <w:t xml:space="preserve">Comment: </w:t>
      </w:r>
      <w:r>
        <w:rPr>
          <w:rFonts w:asciiTheme="minorHAnsi" w:hAnsiTheme="minorHAnsi" w:cstheme="minorHAnsi"/>
          <w:sz w:val="22"/>
          <w:szCs w:val="22"/>
        </w:rPr>
        <w:t xml:space="preserve">If the amendment resulting in the modification is required to be reported as a separate lease, do not record this entry; </w:t>
      </w:r>
      <w:r w:rsidR="007D55FE">
        <w:rPr>
          <w:rFonts w:asciiTheme="minorHAnsi" w:hAnsiTheme="minorHAnsi" w:cstheme="minorHAnsi"/>
          <w:sz w:val="22"/>
          <w:szCs w:val="22"/>
        </w:rPr>
        <w:t>S</w:t>
      </w:r>
      <w:r>
        <w:rPr>
          <w:rFonts w:asciiTheme="minorHAnsi" w:hAnsiTheme="minorHAnsi" w:cstheme="minorHAnsi"/>
          <w:sz w:val="22"/>
          <w:szCs w:val="22"/>
        </w:rPr>
        <w:t>ee SFFAS 54, Par. 84</w:t>
      </w:r>
      <w:r w:rsidR="00DB2325">
        <w:rPr>
          <w:rFonts w:asciiTheme="minorHAnsi" w:hAnsiTheme="minorHAnsi" w:cstheme="minorHAnsi"/>
          <w:sz w:val="22"/>
          <w:szCs w:val="22"/>
        </w:rPr>
        <w:t>.</w:t>
      </w:r>
    </w:p>
    <w:p w14:paraId="4A5EA8A2" w14:textId="77777777" w:rsidR="009767F7" w:rsidRDefault="009767F7" w:rsidP="00576861">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p>
    <w:p w14:paraId="28B9A592" w14:textId="20ACEA92" w:rsidR="003A147D" w:rsidRDefault="009E4AEF" w:rsidP="00576861">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sidRPr="00546ADF">
        <w:rPr>
          <w:rFonts w:asciiTheme="minorHAnsi" w:hAnsiTheme="minorHAnsi" w:cstheme="minorHAnsi"/>
          <w:b/>
          <w:sz w:val="22"/>
          <w:szCs w:val="22"/>
        </w:rPr>
        <w:t>Reference:</w:t>
      </w:r>
      <w:r>
        <w:rPr>
          <w:rFonts w:cstheme="minorHAnsi"/>
          <w:b/>
          <w:bCs/>
        </w:rPr>
        <w:t xml:space="preserve"> </w:t>
      </w:r>
      <w:r w:rsidRPr="00E804FA">
        <w:rPr>
          <w:rFonts w:asciiTheme="minorHAnsi" w:hAnsiTheme="minorHAnsi" w:cstheme="minorHAnsi"/>
          <w:sz w:val="22"/>
          <w:szCs w:val="22"/>
        </w:rPr>
        <w:t>Please refer to definition</w:t>
      </w:r>
      <w:r w:rsidR="00C07258">
        <w:rPr>
          <w:rFonts w:asciiTheme="minorHAnsi" w:hAnsiTheme="minorHAnsi" w:cstheme="minorHAnsi"/>
          <w:sz w:val="22"/>
          <w:szCs w:val="22"/>
        </w:rPr>
        <w:t>/</w:t>
      </w:r>
      <w:r w:rsidRPr="00E804FA">
        <w:rPr>
          <w:rFonts w:asciiTheme="minorHAnsi" w:hAnsiTheme="minorHAnsi" w:cstheme="minorHAnsi"/>
          <w:sz w:val="22"/>
          <w:szCs w:val="22"/>
        </w:rPr>
        <w:t>s</w:t>
      </w:r>
      <w:r w:rsidR="00C07258">
        <w:rPr>
          <w:rFonts w:asciiTheme="minorHAnsi" w:hAnsiTheme="minorHAnsi" w:cstheme="minorHAnsi"/>
          <w:sz w:val="22"/>
          <w:szCs w:val="22"/>
        </w:rPr>
        <w:t>cope</w:t>
      </w:r>
      <w:r w:rsidRPr="00E804FA">
        <w:rPr>
          <w:rFonts w:asciiTheme="minorHAnsi" w:hAnsiTheme="minorHAnsi" w:cstheme="minorHAnsi"/>
          <w:sz w:val="22"/>
          <w:szCs w:val="22"/>
        </w:rPr>
        <w:t xml:space="preserve"> of lease </w:t>
      </w:r>
      <w:r w:rsidR="0001175E">
        <w:rPr>
          <w:rFonts w:asciiTheme="minorHAnsi" w:hAnsiTheme="minorHAnsi" w:cstheme="minorHAnsi"/>
          <w:sz w:val="22"/>
          <w:szCs w:val="22"/>
        </w:rPr>
        <w:t>modifications</w:t>
      </w:r>
      <w:r w:rsidRPr="00E804FA">
        <w:rPr>
          <w:rFonts w:asciiTheme="minorHAnsi" w:hAnsiTheme="minorHAnsi" w:cstheme="minorHAnsi"/>
          <w:sz w:val="22"/>
          <w:szCs w:val="22"/>
        </w:rPr>
        <w:t xml:space="preserve"> and the appropriate accounting guidance within </w:t>
      </w:r>
      <w:r w:rsidRPr="008E32FC">
        <w:rPr>
          <w:rFonts w:asciiTheme="minorHAnsi" w:hAnsiTheme="minorHAnsi" w:cstheme="minorHAnsi"/>
          <w:sz w:val="22"/>
          <w:szCs w:val="22"/>
        </w:rPr>
        <w:t>SFFAS 54, Par. 8</w:t>
      </w:r>
      <w:r>
        <w:rPr>
          <w:rFonts w:asciiTheme="minorHAnsi" w:hAnsiTheme="minorHAnsi" w:cstheme="minorHAnsi"/>
          <w:sz w:val="22"/>
          <w:szCs w:val="22"/>
        </w:rPr>
        <w:t>0</w:t>
      </w:r>
      <w:r w:rsidR="00AB64C8">
        <w:rPr>
          <w:rFonts w:asciiTheme="minorHAnsi" w:hAnsiTheme="minorHAnsi" w:cstheme="minorHAnsi"/>
          <w:sz w:val="22"/>
          <w:szCs w:val="22"/>
        </w:rPr>
        <w:t xml:space="preserve"> &amp; Pars. </w:t>
      </w:r>
      <w:r w:rsidRPr="008E32FC">
        <w:rPr>
          <w:rFonts w:asciiTheme="minorHAnsi" w:hAnsiTheme="minorHAnsi" w:cstheme="minorHAnsi"/>
          <w:sz w:val="22"/>
          <w:szCs w:val="22"/>
        </w:rPr>
        <w:t>8</w:t>
      </w:r>
      <w:r w:rsidR="00AB64C8">
        <w:rPr>
          <w:rFonts w:asciiTheme="minorHAnsi" w:hAnsiTheme="minorHAnsi" w:cstheme="minorHAnsi"/>
          <w:sz w:val="22"/>
          <w:szCs w:val="22"/>
        </w:rPr>
        <w:t>4-86.</w:t>
      </w:r>
      <w:r w:rsidRPr="008E32FC">
        <w:rPr>
          <w:rFonts w:asciiTheme="minorHAnsi" w:hAnsiTheme="minorHAnsi" w:cstheme="minorHAnsi"/>
          <w:sz w:val="22"/>
          <w:szCs w:val="22"/>
        </w:rPr>
        <w:t xml:space="preserve">  </w:t>
      </w:r>
    </w:p>
    <w:p w14:paraId="2ABF60A9" w14:textId="77777777" w:rsidR="00724E51" w:rsidRPr="00724E51" w:rsidRDefault="00724E51" w:rsidP="00724E51">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p>
    <w:p w14:paraId="51EE3FAB" w14:textId="77777777" w:rsidR="00724E51" w:rsidRPr="003D38C8" w:rsidRDefault="00724E51" w:rsidP="00724E51">
      <w:pPr>
        <w:spacing w:after="0"/>
        <w:rPr>
          <w:b/>
          <w:bCs/>
        </w:rPr>
      </w:pPr>
      <w:r w:rsidRPr="003D38C8">
        <w:rPr>
          <w:b/>
          <w:bCs/>
        </w:rPr>
        <w:t xml:space="preserve">Budgetary Entry </w:t>
      </w:r>
    </w:p>
    <w:p w14:paraId="3C0D5C70" w14:textId="77777777" w:rsidR="00724E51" w:rsidRDefault="00724E51" w:rsidP="00724E51">
      <w:pPr>
        <w:spacing w:after="0"/>
      </w:pPr>
      <w:r>
        <w:t>None</w:t>
      </w:r>
    </w:p>
    <w:p w14:paraId="679FFBF1" w14:textId="77777777" w:rsidR="00724E51" w:rsidRDefault="00724E51" w:rsidP="00724E51">
      <w:pPr>
        <w:spacing w:after="0"/>
      </w:pPr>
    </w:p>
    <w:p w14:paraId="7F9142C9" w14:textId="77777777" w:rsidR="00724E51" w:rsidRPr="003D38C8" w:rsidRDefault="00724E51" w:rsidP="00724E51">
      <w:pPr>
        <w:spacing w:after="0"/>
        <w:rPr>
          <w:b/>
          <w:bCs/>
        </w:rPr>
      </w:pPr>
      <w:r>
        <w:rPr>
          <w:b/>
          <w:bCs/>
        </w:rPr>
        <w:t>Proprietary</w:t>
      </w:r>
      <w:r w:rsidRPr="003D38C8">
        <w:rPr>
          <w:b/>
          <w:bCs/>
        </w:rPr>
        <w:t xml:space="preserve"> Entry </w:t>
      </w:r>
    </w:p>
    <w:p w14:paraId="02BC0AFD" w14:textId="77777777" w:rsidR="00724E51" w:rsidRDefault="00724E51" w:rsidP="00724E51">
      <w:pPr>
        <w:spacing w:after="0"/>
      </w:pPr>
      <w:r>
        <w:t xml:space="preserve">293000 </w:t>
      </w:r>
      <w:r w:rsidRPr="00CB6A49">
        <w:t>Lessee Lease Liability</w:t>
      </w:r>
    </w:p>
    <w:p w14:paraId="02FE4A08" w14:textId="77777777" w:rsidR="00724E51" w:rsidRDefault="00724E51" w:rsidP="00724E51">
      <w:pPr>
        <w:spacing w:after="0"/>
      </w:pPr>
      <w:r>
        <w:t xml:space="preserve">293010 </w:t>
      </w:r>
      <w:r w:rsidRPr="00CB6A49">
        <w:t xml:space="preserve">Unfunded Lease Liability </w:t>
      </w:r>
    </w:p>
    <w:p w14:paraId="706AB846" w14:textId="77777777" w:rsidR="00724E51" w:rsidRDefault="00724E51" w:rsidP="00724E51">
      <w:pPr>
        <w:spacing w:after="0"/>
      </w:pPr>
      <w:r>
        <w:t>195900</w:t>
      </w:r>
      <w:r w:rsidRPr="003D38C8">
        <w:t xml:space="preserve"> </w:t>
      </w:r>
      <w:r w:rsidRPr="00CB6A49">
        <w:t>Accumulated Amortization on Lessee Lease Assets</w:t>
      </w:r>
    </w:p>
    <w:p w14:paraId="410997C5" w14:textId="77777777" w:rsidR="00724E51" w:rsidRDefault="00724E51" w:rsidP="00724E51">
      <w:pPr>
        <w:spacing w:after="0"/>
        <w:ind w:firstLine="720"/>
      </w:pPr>
      <w:r>
        <w:t>195000</w:t>
      </w:r>
      <w:r w:rsidRPr="003D38C8">
        <w:t xml:space="preserve"> </w:t>
      </w:r>
      <w:r>
        <w:tab/>
      </w:r>
      <w:r w:rsidRPr="001A4C4F">
        <w:t>Lessee Right-To-Use Lease Asset</w:t>
      </w:r>
    </w:p>
    <w:p w14:paraId="28102581" w14:textId="6CBA0F59" w:rsidR="00724E51" w:rsidRDefault="00724E51" w:rsidP="00724E51">
      <w:pPr>
        <w:spacing w:after="0"/>
        <w:ind w:firstLine="720"/>
      </w:pPr>
      <w:r>
        <w:t>71</w:t>
      </w:r>
      <w:r w:rsidR="003D5174">
        <w:t>9</w:t>
      </w:r>
      <w:r>
        <w:t xml:space="preserve">000 </w:t>
      </w:r>
      <w:r w:rsidR="003D5174">
        <w:t xml:space="preserve">Other </w:t>
      </w:r>
      <w:r w:rsidRPr="009E6E0C">
        <w:t>Gains</w:t>
      </w:r>
    </w:p>
    <w:p w14:paraId="5DE14091" w14:textId="2576DD35" w:rsidR="00DD5459" w:rsidRDefault="00DD5459" w:rsidP="00DD5459">
      <w:pPr>
        <w:rPr>
          <w:rFonts w:cstheme="minorHAnsi"/>
          <w:b/>
          <w:bCs/>
          <w:sz w:val="24"/>
          <w:szCs w:val="24"/>
          <w:u w:val="single"/>
        </w:rPr>
      </w:pPr>
    </w:p>
    <w:p w14:paraId="0DCA3271" w14:textId="0C4572F2" w:rsidR="00B61A48" w:rsidRDefault="009E1AAB" w:rsidP="00B61A48">
      <w:pPr>
        <w:pStyle w:val="PlainText"/>
        <w:keepNext/>
        <w:keepLines/>
        <w:tabs>
          <w:tab w:val="left" w:pos="660"/>
          <w:tab w:val="left" w:pos="1840"/>
          <w:tab w:val="left" w:pos="2940"/>
          <w:tab w:val="left" w:pos="3140"/>
        </w:tabs>
        <w:ind w:left="660" w:hanging="660"/>
        <w:rPr>
          <w:rFonts w:asciiTheme="minorHAnsi" w:hAnsiTheme="minorHAnsi" w:cstheme="minorHAnsi"/>
          <w:sz w:val="22"/>
          <w:szCs w:val="22"/>
        </w:rPr>
      </w:pPr>
      <w:r>
        <w:rPr>
          <w:rFonts w:asciiTheme="minorHAnsi" w:hAnsiTheme="minorHAnsi" w:cstheme="minorHAnsi"/>
          <w:b/>
          <w:sz w:val="22"/>
          <w:szCs w:val="22"/>
        </w:rPr>
        <w:lastRenderedPageBreak/>
        <w:t>7</w:t>
      </w:r>
      <w:r w:rsidR="00B61A48" w:rsidRPr="00B42FC9">
        <w:rPr>
          <w:rFonts w:asciiTheme="minorHAnsi" w:hAnsiTheme="minorHAnsi" w:cstheme="minorHAnsi"/>
          <w:b/>
          <w:sz w:val="22"/>
          <w:szCs w:val="22"/>
        </w:rPr>
        <w:t xml:space="preserve">) </w:t>
      </w:r>
      <w:r w:rsidR="0098209B">
        <w:rPr>
          <w:rFonts w:asciiTheme="minorHAnsi" w:hAnsiTheme="minorHAnsi" w:cstheme="minorHAnsi"/>
          <w:b/>
          <w:bCs/>
          <w:sz w:val="22"/>
          <w:szCs w:val="22"/>
        </w:rPr>
        <w:t>C733</w:t>
      </w:r>
      <w:r w:rsidR="00B61A48" w:rsidRPr="00453070">
        <w:rPr>
          <w:rFonts w:asciiTheme="minorHAnsi" w:hAnsiTheme="minorHAnsi" w:cstheme="minorHAnsi"/>
          <w:b/>
          <w:bCs/>
          <w:sz w:val="22"/>
          <w:szCs w:val="22"/>
        </w:rPr>
        <w:t xml:space="preserve"> </w:t>
      </w:r>
      <w:r w:rsidR="00B61A48" w:rsidRPr="00453070">
        <w:rPr>
          <w:rFonts w:asciiTheme="minorHAnsi" w:hAnsiTheme="minorHAnsi" w:cstheme="minorHAnsi"/>
          <w:sz w:val="22"/>
          <w:szCs w:val="22"/>
        </w:rPr>
        <w:t xml:space="preserve">To record </w:t>
      </w:r>
      <w:r w:rsidR="00B61A48">
        <w:rPr>
          <w:rFonts w:asciiTheme="minorHAnsi" w:hAnsiTheme="minorHAnsi" w:cstheme="minorHAnsi"/>
          <w:sz w:val="22"/>
          <w:szCs w:val="22"/>
        </w:rPr>
        <w:t>a lessor’s full or partial lease termination by</w:t>
      </w:r>
      <w:r w:rsidR="00B61A48" w:rsidRPr="008E32FC">
        <w:rPr>
          <w:rFonts w:asciiTheme="minorHAnsi" w:hAnsiTheme="minorHAnsi" w:cstheme="minorHAnsi"/>
          <w:sz w:val="22"/>
          <w:szCs w:val="22"/>
        </w:rPr>
        <w:t xml:space="preserve"> reduc</w:t>
      </w:r>
      <w:r w:rsidR="00B61A48">
        <w:rPr>
          <w:rFonts w:asciiTheme="minorHAnsi" w:hAnsiTheme="minorHAnsi" w:cstheme="minorHAnsi"/>
          <w:sz w:val="22"/>
          <w:szCs w:val="22"/>
        </w:rPr>
        <w:t>ing</w:t>
      </w:r>
      <w:r w:rsidR="00B61A48" w:rsidRPr="008E32FC">
        <w:rPr>
          <w:rFonts w:asciiTheme="minorHAnsi" w:hAnsiTheme="minorHAnsi" w:cstheme="minorHAnsi"/>
          <w:sz w:val="22"/>
          <w:szCs w:val="22"/>
        </w:rPr>
        <w:t xml:space="preserve"> the carrying values of the lease </w:t>
      </w:r>
      <w:r w:rsidR="00E22010">
        <w:rPr>
          <w:rFonts w:asciiTheme="minorHAnsi" w:hAnsiTheme="minorHAnsi" w:cstheme="minorHAnsi"/>
          <w:sz w:val="22"/>
          <w:szCs w:val="22"/>
        </w:rPr>
        <w:t xml:space="preserve">receivable </w:t>
      </w:r>
      <w:r w:rsidR="00B61A48" w:rsidRPr="008E32FC">
        <w:rPr>
          <w:rFonts w:asciiTheme="minorHAnsi" w:hAnsiTheme="minorHAnsi" w:cstheme="minorHAnsi"/>
          <w:sz w:val="22"/>
          <w:szCs w:val="22"/>
        </w:rPr>
        <w:t>and</w:t>
      </w:r>
      <w:r w:rsidR="009274BD">
        <w:rPr>
          <w:rFonts w:asciiTheme="minorHAnsi" w:hAnsiTheme="minorHAnsi" w:cstheme="minorHAnsi"/>
          <w:sz w:val="22"/>
          <w:szCs w:val="22"/>
        </w:rPr>
        <w:t xml:space="preserve"> unearned </w:t>
      </w:r>
      <w:proofErr w:type="gramStart"/>
      <w:r w:rsidR="009274BD">
        <w:rPr>
          <w:rFonts w:asciiTheme="minorHAnsi" w:hAnsiTheme="minorHAnsi" w:cstheme="minorHAnsi"/>
          <w:sz w:val="22"/>
          <w:szCs w:val="22"/>
        </w:rPr>
        <w:t>revenue, and</w:t>
      </w:r>
      <w:proofErr w:type="gramEnd"/>
      <w:r w:rsidR="00B61A48" w:rsidRPr="008E32FC">
        <w:rPr>
          <w:rFonts w:asciiTheme="minorHAnsi" w:hAnsiTheme="minorHAnsi" w:cstheme="minorHAnsi"/>
          <w:sz w:val="22"/>
          <w:szCs w:val="22"/>
        </w:rPr>
        <w:t xml:space="preserve"> recogniz</w:t>
      </w:r>
      <w:r w:rsidR="00B61A48">
        <w:rPr>
          <w:rFonts w:asciiTheme="minorHAnsi" w:hAnsiTheme="minorHAnsi" w:cstheme="minorHAnsi"/>
          <w:sz w:val="22"/>
          <w:szCs w:val="22"/>
        </w:rPr>
        <w:t>ing</w:t>
      </w:r>
      <w:r w:rsidR="00B61A48" w:rsidRPr="008E32FC">
        <w:rPr>
          <w:rFonts w:asciiTheme="minorHAnsi" w:hAnsiTheme="minorHAnsi" w:cstheme="minorHAnsi"/>
          <w:sz w:val="22"/>
          <w:szCs w:val="22"/>
        </w:rPr>
        <w:t xml:space="preserve"> a </w:t>
      </w:r>
      <w:r w:rsidR="00B61A48">
        <w:rPr>
          <w:rFonts w:asciiTheme="minorHAnsi" w:hAnsiTheme="minorHAnsi" w:cstheme="minorHAnsi"/>
          <w:sz w:val="22"/>
          <w:szCs w:val="22"/>
        </w:rPr>
        <w:t xml:space="preserve">respective </w:t>
      </w:r>
      <w:r w:rsidR="00B61A48" w:rsidRPr="008E32FC">
        <w:rPr>
          <w:rFonts w:asciiTheme="minorHAnsi" w:hAnsiTheme="minorHAnsi" w:cstheme="minorHAnsi"/>
          <w:sz w:val="22"/>
          <w:szCs w:val="22"/>
        </w:rPr>
        <w:t xml:space="preserve">gain/loss for </w:t>
      </w:r>
      <w:r w:rsidR="009057C8">
        <w:rPr>
          <w:rFonts w:asciiTheme="minorHAnsi" w:hAnsiTheme="minorHAnsi" w:cstheme="minorHAnsi"/>
          <w:sz w:val="22"/>
          <w:szCs w:val="22"/>
        </w:rPr>
        <w:t>any</w:t>
      </w:r>
      <w:r w:rsidR="00B61A48" w:rsidRPr="008E32FC">
        <w:rPr>
          <w:rFonts w:asciiTheme="minorHAnsi" w:hAnsiTheme="minorHAnsi" w:cstheme="minorHAnsi"/>
          <w:sz w:val="22"/>
          <w:szCs w:val="22"/>
        </w:rPr>
        <w:t xml:space="preserve"> difference</w:t>
      </w:r>
      <w:r w:rsidR="00B61A48">
        <w:rPr>
          <w:rFonts w:asciiTheme="minorHAnsi" w:hAnsiTheme="minorHAnsi" w:cstheme="minorHAnsi"/>
          <w:sz w:val="22"/>
          <w:szCs w:val="22"/>
        </w:rPr>
        <w:t>s.</w:t>
      </w:r>
    </w:p>
    <w:p w14:paraId="20FDDB11" w14:textId="77777777" w:rsidR="00B61A48" w:rsidRDefault="00B61A48" w:rsidP="00B61A48">
      <w:pPr>
        <w:pStyle w:val="PlainText"/>
        <w:keepNext/>
        <w:keepLines/>
        <w:tabs>
          <w:tab w:val="left" w:pos="660"/>
          <w:tab w:val="left" w:pos="1840"/>
          <w:tab w:val="left" w:pos="2940"/>
          <w:tab w:val="left" w:pos="3140"/>
        </w:tabs>
        <w:ind w:left="660" w:hanging="660"/>
        <w:jc w:val="both"/>
        <w:rPr>
          <w:rFonts w:asciiTheme="minorHAnsi" w:hAnsiTheme="minorHAnsi" w:cstheme="minorHAnsi"/>
          <w:sz w:val="22"/>
          <w:szCs w:val="22"/>
        </w:rPr>
      </w:pPr>
    </w:p>
    <w:p w14:paraId="7B0848D0" w14:textId="7D213DF9" w:rsidR="00B61A48" w:rsidRDefault="00B61A48" w:rsidP="00B61A48">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r>
        <w:rPr>
          <w:rFonts w:asciiTheme="minorHAnsi" w:hAnsiTheme="minorHAnsi" w:cstheme="minorHAnsi"/>
          <w:b/>
          <w:sz w:val="22"/>
          <w:szCs w:val="22"/>
        </w:rPr>
        <w:t xml:space="preserve">Comment: </w:t>
      </w:r>
      <w:r>
        <w:rPr>
          <w:rFonts w:asciiTheme="minorHAnsi" w:hAnsiTheme="minorHAnsi" w:cstheme="minorHAnsi"/>
          <w:sz w:val="22"/>
          <w:szCs w:val="22"/>
        </w:rPr>
        <w:t xml:space="preserve">If the </w:t>
      </w:r>
      <w:r w:rsidR="009A36D4">
        <w:rPr>
          <w:rFonts w:asciiTheme="minorHAnsi" w:hAnsiTheme="minorHAnsi" w:cstheme="minorHAnsi"/>
          <w:sz w:val="22"/>
          <w:szCs w:val="22"/>
        </w:rPr>
        <w:t xml:space="preserve">lease termination is a result of the lessee purchasing the underlying asset from the lessor, </w:t>
      </w:r>
      <w:r w:rsidR="009A36D4" w:rsidRPr="009A36D4">
        <w:rPr>
          <w:rFonts w:asciiTheme="minorHAnsi" w:hAnsiTheme="minorHAnsi" w:cstheme="minorHAnsi"/>
          <w:sz w:val="22"/>
          <w:szCs w:val="22"/>
        </w:rPr>
        <w:t xml:space="preserve">the carrying value of the underlying asset should </w:t>
      </w:r>
      <w:r w:rsidR="00B07542" w:rsidRPr="009A36D4">
        <w:rPr>
          <w:rFonts w:asciiTheme="minorHAnsi" w:hAnsiTheme="minorHAnsi" w:cstheme="minorHAnsi"/>
          <w:sz w:val="22"/>
          <w:szCs w:val="22"/>
        </w:rPr>
        <w:t xml:space="preserve">also </w:t>
      </w:r>
      <w:r w:rsidR="009A36D4" w:rsidRPr="009A36D4">
        <w:rPr>
          <w:rFonts w:asciiTheme="minorHAnsi" w:hAnsiTheme="minorHAnsi" w:cstheme="minorHAnsi"/>
          <w:sz w:val="22"/>
          <w:szCs w:val="22"/>
        </w:rPr>
        <w:t>be derecognized and included in the calculation of any gain</w:t>
      </w:r>
      <w:r w:rsidR="00B07542">
        <w:rPr>
          <w:rFonts w:asciiTheme="minorHAnsi" w:hAnsiTheme="minorHAnsi" w:cstheme="minorHAnsi"/>
          <w:sz w:val="22"/>
          <w:szCs w:val="22"/>
        </w:rPr>
        <w:t>/</w:t>
      </w:r>
      <w:r w:rsidR="009A36D4" w:rsidRPr="009A36D4">
        <w:rPr>
          <w:rFonts w:asciiTheme="minorHAnsi" w:hAnsiTheme="minorHAnsi" w:cstheme="minorHAnsi"/>
          <w:sz w:val="22"/>
          <w:szCs w:val="22"/>
        </w:rPr>
        <w:t>loss.</w:t>
      </w:r>
    </w:p>
    <w:p w14:paraId="74D9339F" w14:textId="77777777" w:rsidR="00B61A48" w:rsidRDefault="00B61A48" w:rsidP="00B61A48">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p>
    <w:p w14:paraId="45C9CFA0" w14:textId="1F8389D4" w:rsidR="00B61A48" w:rsidRPr="00576861" w:rsidRDefault="00B61A48" w:rsidP="00B61A48">
      <w:pPr>
        <w:pStyle w:val="PlainText"/>
        <w:keepNext/>
        <w:keepLines/>
        <w:tabs>
          <w:tab w:val="left" w:pos="660"/>
          <w:tab w:val="left" w:pos="1840"/>
          <w:tab w:val="left" w:pos="2940"/>
          <w:tab w:val="left" w:pos="3140"/>
        </w:tabs>
        <w:ind w:left="660" w:hanging="660"/>
        <w:rPr>
          <w:rFonts w:asciiTheme="minorHAnsi" w:hAnsiTheme="minorHAnsi" w:cstheme="minorHAnsi"/>
          <w:b/>
          <w:sz w:val="22"/>
          <w:szCs w:val="22"/>
        </w:rPr>
      </w:pPr>
      <w:r w:rsidRPr="00546ADF">
        <w:rPr>
          <w:rFonts w:asciiTheme="minorHAnsi" w:hAnsiTheme="minorHAnsi" w:cstheme="minorHAnsi"/>
          <w:b/>
          <w:sz w:val="22"/>
          <w:szCs w:val="22"/>
        </w:rPr>
        <w:t>Reference:</w:t>
      </w:r>
      <w:r w:rsidRPr="00576861">
        <w:rPr>
          <w:rFonts w:asciiTheme="minorHAnsi" w:hAnsiTheme="minorHAnsi" w:cstheme="minorHAnsi"/>
          <w:b/>
          <w:sz w:val="22"/>
          <w:szCs w:val="22"/>
        </w:rPr>
        <w:t xml:space="preserve"> </w:t>
      </w:r>
      <w:r w:rsidRPr="00576861">
        <w:rPr>
          <w:rFonts w:asciiTheme="minorHAnsi" w:hAnsiTheme="minorHAnsi" w:cstheme="minorHAnsi"/>
          <w:bCs/>
          <w:sz w:val="22"/>
          <w:szCs w:val="22"/>
        </w:rPr>
        <w:t>Please refer to definition</w:t>
      </w:r>
      <w:r w:rsidR="00150446">
        <w:rPr>
          <w:rFonts w:asciiTheme="minorHAnsi" w:hAnsiTheme="minorHAnsi" w:cstheme="minorHAnsi"/>
          <w:bCs/>
          <w:sz w:val="22"/>
          <w:szCs w:val="22"/>
        </w:rPr>
        <w:t>/</w:t>
      </w:r>
      <w:r w:rsidRPr="00576861">
        <w:rPr>
          <w:rFonts w:asciiTheme="minorHAnsi" w:hAnsiTheme="minorHAnsi" w:cstheme="minorHAnsi"/>
          <w:bCs/>
          <w:sz w:val="22"/>
          <w:szCs w:val="22"/>
        </w:rPr>
        <w:t>s</w:t>
      </w:r>
      <w:r w:rsidR="00150446">
        <w:rPr>
          <w:rFonts w:asciiTheme="minorHAnsi" w:hAnsiTheme="minorHAnsi" w:cstheme="minorHAnsi"/>
          <w:bCs/>
          <w:sz w:val="22"/>
          <w:szCs w:val="22"/>
        </w:rPr>
        <w:t>cope</w:t>
      </w:r>
      <w:r w:rsidRPr="00576861">
        <w:rPr>
          <w:rFonts w:asciiTheme="minorHAnsi" w:hAnsiTheme="minorHAnsi" w:cstheme="minorHAnsi"/>
          <w:bCs/>
          <w:sz w:val="22"/>
          <w:szCs w:val="22"/>
        </w:rPr>
        <w:t xml:space="preserve"> of lease terminations and the appropriate accounting guidance within SFFAS 54, Pars. 80-83.</w:t>
      </w:r>
    </w:p>
    <w:p w14:paraId="6A2F0CA8" w14:textId="77777777" w:rsidR="00B61A48" w:rsidRDefault="00B61A48" w:rsidP="00B61A48">
      <w:pPr>
        <w:spacing w:after="0"/>
        <w:rPr>
          <w:rFonts w:cstheme="minorHAnsi"/>
          <w:b/>
          <w:bCs/>
        </w:rPr>
      </w:pPr>
    </w:p>
    <w:p w14:paraId="2A057993" w14:textId="77777777" w:rsidR="00B61A48" w:rsidRPr="003D38C8" w:rsidRDefault="00B61A48" w:rsidP="00B61A48">
      <w:pPr>
        <w:spacing w:after="0"/>
        <w:rPr>
          <w:b/>
          <w:bCs/>
        </w:rPr>
      </w:pPr>
      <w:r w:rsidRPr="003D38C8">
        <w:rPr>
          <w:b/>
          <w:bCs/>
        </w:rPr>
        <w:t xml:space="preserve">Budgetary Entry </w:t>
      </w:r>
    </w:p>
    <w:p w14:paraId="2F15CF80" w14:textId="77777777" w:rsidR="00B61A48" w:rsidRDefault="00B61A48" w:rsidP="00B61A48">
      <w:pPr>
        <w:spacing w:after="0"/>
      </w:pPr>
      <w:r>
        <w:t>None</w:t>
      </w:r>
    </w:p>
    <w:p w14:paraId="72C625D5" w14:textId="77777777" w:rsidR="00B61A48" w:rsidRDefault="00B61A48" w:rsidP="00B61A48">
      <w:pPr>
        <w:spacing w:after="0"/>
      </w:pPr>
    </w:p>
    <w:p w14:paraId="36A64F65" w14:textId="77777777" w:rsidR="00B61A48" w:rsidRPr="003D38C8" w:rsidRDefault="00B61A48" w:rsidP="00B61A48">
      <w:pPr>
        <w:spacing w:after="0"/>
        <w:rPr>
          <w:b/>
          <w:bCs/>
        </w:rPr>
      </w:pPr>
      <w:r>
        <w:rPr>
          <w:b/>
          <w:bCs/>
        </w:rPr>
        <w:t>Proprietary</w:t>
      </w:r>
      <w:r w:rsidRPr="003D38C8">
        <w:rPr>
          <w:b/>
          <w:bCs/>
        </w:rPr>
        <w:t xml:space="preserve"> Entry </w:t>
      </w:r>
    </w:p>
    <w:p w14:paraId="2540A8A4" w14:textId="452B4F12" w:rsidR="00B61A48" w:rsidRDefault="00CB6031" w:rsidP="00B61A48">
      <w:pPr>
        <w:spacing w:after="0"/>
      </w:pPr>
      <w:r>
        <w:t>233000</w:t>
      </w:r>
      <w:r w:rsidR="00B61A48">
        <w:t xml:space="preserve"> </w:t>
      </w:r>
      <w:r w:rsidRPr="00CB6031">
        <w:t>Unearned Lessor Revenue</w:t>
      </w:r>
    </w:p>
    <w:p w14:paraId="3C9251FA" w14:textId="2EBFF844" w:rsidR="00B61A48" w:rsidRDefault="007426B8" w:rsidP="00B61A48">
      <w:pPr>
        <w:spacing w:after="0"/>
      </w:pPr>
      <w:r>
        <w:t>193900</w:t>
      </w:r>
      <w:r w:rsidR="00B61A48">
        <w:t xml:space="preserve"> </w:t>
      </w:r>
      <w:r w:rsidRPr="007426B8">
        <w:t>Allowance for Loss on Lease Receivable</w:t>
      </w:r>
    </w:p>
    <w:p w14:paraId="773E1699" w14:textId="77777777" w:rsidR="00B61A48" w:rsidRDefault="00B61A48" w:rsidP="00B61A48">
      <w:pPr>
        <w:spacing w:after="0"/>
      </w:pPr>
      <w:r>
        <w:t xml:space="preserve">721000 </w:t>
      </w:r>
      <w:r w:rsidRPr="00A52B19">
        <w:t>Losses on Disposition of Assets - Other</w:t>
      </w:r>
    </w:p>
    <w:p w14:paraId="23F5EEC9" w14:textId="1EE4831E" w:rsidR="00B61A48" w:rsidRDefault="00FF4FA3" w:rsidP="00B61A48">
      <w:pPr>
        <w:spacing w:after="0"/>
        <w:ind w:firstLine="720"/>
      </w:pPr>
      <w:r>
        <w:t>593900</w:t>
      </w:r>
      <w:r w:rsidR="00B61A48" w:rsidRPr="003D38C8">
        <w:t xml:space="preserve"> </w:t>
      </w:r>
      <w:r w:rsidR="00B61A48">
        <w:tab/>
      </w:r>
      <w:r w:rsidRPr="00FF4FA3">
        <w:t>Contra Revenue for Lessor Lease Revenue</w:t>
      </w:r>
    </w:p>
    <w:p w14:paraId="3F86DD3B" w14:textId="34EE5902" w:rsidR="00113252" w:rsidRDefault="00113252" w:rsidP="00B61A48">
      <w:pPr>
        <w:spacing w:after="0"/>
        <w:ind w:firstLine="720"/>
      </w:pPr>
      <w:r>
        <w:t xml:space="preserve">193000 </w:t>
      </w:r>
      <w:r w:rsidRPr="00113252">
        <w:t>Lessor Lease Receivable</w:t>
      </w:r>
    </w:p>
    <w:p w14:paraId="2CD64A98" w14:textId="77777777" w:rsidR="00B61A48" w:rsidRDefault="00B61A48" w:rsidP="00B61A48">
      <w:pPr>
        <w:spacing w:after="0"/>
        <w:ind w:firstLine="720"/>
      </w:pPr>
      <w:r>
        <w:t xml:space="preserve">711000 </w:t>
      </w:r>
      <w:r w:rsidRPr="009E6E0C">
        <w:t>Gains on Disposition of Assets - Other</w:t>
      </w:r>
    </w:p>
    <w:p w14:paraId="5C110E9F" w14:textId="77777777" w:rsidR="00DD5459" w:rsidRPr="0058774F" w:rsidRDefault="00DD5459" w:rsidP="00DD5459">
      <w:pPr>
        <w:rPr>
          <w:rFonts w:cstheme="minorHAnsi"/>
          <w:b/>
          <w:bCs/>
          <w:sz w:val="24"/>
          <w:szCs w:val="24"/>
          <w:u w:val="single"/>
        </w:rPr>
      </w:pPr>
    </w:p>
    <w:p w14:paraId="1B4953D2" w14:textId="77777777" w:rsidR="00DD5459" w:rsidRPr="00C70A55" w:rsidRDefault="00DD5459" w:rsidP="00C70A55">
      <w:pPr>
        <w:autoSpaceDE w:val="0"/>
        <w:autoSpaceDN w:val="0"/>
        <w:adjustRightInd w:val="0"/>
        <w:spacing w:after="0" w:line="240" w:lineRule="auto"/>
        <w:jc w:val="both"/>
        <w:rPr>
          <w:rFonts w:cstheme="minorHAnsi"/>
        </w:rPr>
      </w:pPr>
    </w:p>
    <w:sectPr w:rsidR="00DD5459" w:rsidRPr="00C70A55" w:rsidSect="002B02B5">
      <w:footerReference w:type="default" r:id="rId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D7B4" w14:textId="77777777" w:rsidR="00745D48" w:rsidRDefault="00745D48" w:rsidP="00745D48">
      <w:pPr>
        <w:spacing w:after="0" w:line="240" w:lineRule="auto"/>
      </w:pPr>
      <w:r>
        <w:separator/>
      </w:r>
    </w:p>
  </w:endnote>
  <w:endnote w:type="continuationSeparator" w:id="0">
    <w:p w14:paraId="04356A80" w14:textId="77777777" w:rsidR="00745D48" w:rsidRDefault="00745D48" w:rsidP="0074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724907"/>
      <w:docPartObj>
        <w:docPartGallery w:val="Page Numbers (Bottom of Page)"/>
        <w:docPartUnique/>
      </w:docPartObj>
    </w:sdtPr>
    <w:sdtEndPr/>
    <w:sdtContent>
      <w:sdt>
        <w:sdtPr>
          <w:id w:val="1728636285"/>
          <w:docPartObj>
            <w:docPartGallery w:val="Page Numbers (Top of Page)"/>
            <w:docPartUnique/>
          </w:docPartObj>
        </w:sdtPr>
        <w:sdtEndPr/>
        <w:sdtContent>
          <w:p w14:paraId="59309C2C" w14:textId="79482EF3" w:rsidR="00745D48" w:rsidRDefault="00745D48" w:rsidP="00745D4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t xml:space="preserve">                                        </w:t>
            </w:r>
            <w:r w:rsidRPr="00745D48">
              <w:rPr>
                <w:b/>
                <w:bCs/>
              </w:rPr>
              <w:t xml:space="preserve">IRC Handout </w:t>
            </w:r>
            <w:r w:rsidR="0058774F">
              <w:rPr>
                <w:b/>
                <w:bCs/>
              </w:rPr>
              <w:t>11</w:t>
            </w:r>
            <w:r w:rsidRPr="00745D48">
              <w:rPr>
                <w:b/>
                <w:bCs/>
              </w:rPr>
              <w:t>/</w:t>
            </w:r>
            <w:r w:rsidR="0058774F">
              <w:rPr>
                <w:b/>
                <w:bCs/>
              </w:rPr>
              <w:t>29</w:t>
            </w:r>
            <w:r w:rsidRPr="00745D48">
              <w:rPr>
                <w:b/>
                <w:bCs/>
              </w:rPr>
              <w:t>/2023</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5177" w14:textId="77777777" w:rsidR="00745D48" w:rsidRDefault="00745D48" w:rsidP="00745D48">
      <w:pPr>
        <w:spacing w:after="0" w:line="240" w:lineRule="auto"/>
      </w:pPr>
      <w:r>
        <w:separator/>
      </w:r>
    </w:p>
  </w:footnote>
  <w:footnote w:type="continuationSeparator" w:id="0">
    <w:p w14:paraId="78F93FB1" w14:textId="77777777" w:rsidR="00745D48" w:rsidRDefault="00745D48" w:rsidP="00745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82"/>
    <w:rsid w:val="0000013E"/>
    <w:rsid w:val="0001175E"/>
    <w:rsid w:val="00017498"/>
    <w:rsid w:val="00060BF1"/>
    <w:rsid w:val="000A0A31"/>
    <w:rsid w:val="000C10C6"/>
    <w:rsid w:val="00101BEB"/>
    <w:rsid w:val="00113252"/>
    <w:rsid w:val="00116D7C"/>
    <w:rsid w:val="001214A2"/>
    <w:rsid w:val="00150446"/>
    <w:rsid w:val="0017063D"/>
    <w:rsid w:val="00171AA6"/>
    <w:rsid w:val="001A0827"/>
    <w:rsid w:val="001A4C4F"/>
    <w:rsid w:val="001D2FAF"/>
    <w:rsid w:val="001E0C58"/>
    <w:rsid w:val="00261747"/>
    <w:rsid w:val="00276751"/>
    <w:rsid w:val="002949C4"/>
    <w:rsid w:val="00295AE2"/>
    <w:rsid w:val="002B00EE"/>
    <w:rsid w:val="002B02B5"/>
    <w:rsid w:val="002B301B"/>
    <w:rsid w:val="002D78D7"/>
    <w:rsid w:val="00343BB0"/>
    <w:rsid w:val="003469BC"/>
    <w:rsid w:val="0037736F"/>
    <w:rsid w:val="00381CE8"/>
    <w:rsid w:val="00383A13"/>
    <w:rsid w:val="003A147D"/>
    <w:rsid w:val="003A759C"/>
    <w:rsid w:val="003B675E"/>
    <w:rsid w:val="003C711F"/>
    <w:rsid w:val="003D5174"/>
    <w:rsid w:val="003E7E5B"/>
    <w:rsid w:val="0041400B"/>
    <w:rsid w:val="00437818"/>
    <w:rsid w:val="00446737"/>
    <w:rsid w:val="00453070"/>
    <w:rsid w:val="004804BE"/>
    <w:rsid w:val="00481F5C"/>
    <w:rsid w:val="004B131E"/>
    <w:rsid w:val="00513497"/>
    <w:rsid w:val="005175C8"/>
    <w:rsid w:val="00522642"/>
    <w:rsid w:val="00544DD8"/>
    <w:rsid w:val="00546ADF"/>
    <w:rsid w:val="00576861"/>
    <w:rsid w:val="0058774F"/>
    <w:rsid w:val="005963A3"/>
    <w:rsid w:val="005D6BC7"/>
    <w:rsid w:val="0060755A"/>
    <w:rsid w:val="0061370D"/>
    <w:rsid w:val="00664C9C"/>
    <w:rsid w:val="006E2DC3"/>
    <w:rsid w:val="006F6AB0"/>
    <w:rsid w:val="00711769"/>
    <w:rsid w:val="00724E51"/>
    <w:rsid w:val="007426B8"/>
    <w:rsid w:val="00745D48"/>
    <w:rsid w:val="007673FB"/>
    <w:rsid w:val="007A5B65"/>
    <w:rsid w:val="007D55FE"/>
    <w:rsid w:val="007E00B6"/>
    <w:rsid w:val="007F337A"/>
    <w:rsid w:val="00800998"/>
    <w:rsid w:val="0081279B"/>
    <w:rsid w:val="0082627A"/>
    <w:rsid w:val="0086459A"/>
    <w:rsid w:val="00865DC3"/>
    <w:rsid w:val="0089091E"/>
    <w:rsid w:val="008A0952"/>
    <w:rsid w:val="008A33F8"/>
    <w:rsid w:val="008A65F0"/>
    <w:rsid w:val="008C6934"/>
    <w:rsid w:val="008E32FC"/>
    <w:rsid w:val="009057C8"/>
    <w:rsid w:val="00906CC5"/>
    <w:rsid w:val="009274BD"/>
    <w:rsid w:val="009333AA"/>
    <w:rsid w:val="00963836"/>
    <w:rsid w:val="009767F7"/>
    <w:rsid w:val="0098209B"/>
    <w:rsid w:val="009A1003"/>
    <w:rsid w:val="009A36D4"/>
    <w:rsid w:val="009D18EF"/>
    <w:rsid w:val="009D7197"/>
    <w:rsid w:val="009E1AAB"/>
    <w:rsid w:val="009E4AEF"/>
    <w:rsid w:val="009E6E0C"/>
    <w:rsid w:val="009F18A1"/>
    <w:rsid w:val="00A20212"/>
    <w:rsid w:val="00A43F75"/>
    <w:rsid w:val="00A52B19"/>
    <w:rsid w:val="00A87B86"/>
    <w:rsid w:val="00A90A83"/>
    <w:rsid w:val="00A96DE9"/>
    <w:rsid w:val="00AB64C8"/>
    <w:rsid w:val="00AC44E3"/>
    <w:rsid w:val="00AE75F2"/>
    <w:rsid w:val="00B07542"/>
    <w:rsid w:val="00B32570"/>
    <w:rsid w:val="00B42FC9"/>
    <w:rsid w:val="00B55DE8"/>
    <w:rsid w:val="00B61A48"/>
    <w:rsid w:val="00B64E40"/>
    <w:rsid w:val="00B770B1"/>
    <w:rsid w:val="00BA7024"/>
    <w:rsid w:val="00BB25CF"/>
    <w:rsid w:val="00BC7F64"/>
    <w:rsid w:val="00BD40C1"/>
    <w:rsid w:val="00C04FD2"/>
    <w:rsid w:val="00C07258"/>
    <w:rsid w:val="00C11201"/>
    <w:rsid w:val="00C14153"/>
    <w:rsid w:val="00C4029A"/>
    <w:rsid w:val="00C4296E"/>
    <w:rsid w:val="00C4470B"/>
    <w:rsid w:val="00C70A55"/>
    <w:rsid w:val="00C839D7"/>
    <w:rsid w:val="00C92C64"/>
    <w:rsid w:val="00C92C7F"/>
    <w:rsid w:val="00CB6031"/>
    <w:rsid w:val="00CB6A49"/>
    <w:rsid w:val="00CC0033"/>
    <w:rsid w:val="00CD29FA"/>
    <w:rsid w:val="00CE6A65"/>
    <w:rsid w:val="00D1008A"/>
    <w:rsid w:val="00D261A2"/>
    <w:rsid w:val="00D31ED0"/>
    <w:rsid w:val="00D33FDC"/>
    <w:rsid w:val="00D62304"/>
    <w:rsid w:val="00D67DA3"/>
    <w:rsid w:val="00D82AAD"/>
    <w:rsid w:val="00DB2325"/>
    <w:rsid w:val="00DB72D0"/>
    <w:rsid w:val="00DD2FB4"/>
    <w:rsid w:val="00DD5459"/>
    <w:rsid w:val="00DD6FAB"/>
    <w:rsid w:val="00DE504A"/>
    <w:rsid w:val="00DF0B03"/>
    <w:rsid w:val="00E22010"/>
    <w:rsid w:val="00E36D30"/>
    <w:rsid w:val="00E804FA"/>
    <w:rsid w:val="00E90FAD"/>
    <w:rsid w:val="00ED26B7"/>
    <w:rsid w:val="00ED6C37"/>
    <w:rsid w:val="00EE215D"/>
    <w:rsid w:val="00EE3FDD"/>
    <w:rsid w:val="00EF2B40"/>
    <w:rsid w:val="00EF5105"/>
    <w:rsid w:val="00F24DC3"/>
    <w:rsid w:val="00F50EEE"/>
    <w:rsid w:val="00F51D92"/>
    <w:rsid w:val="00F52182"/>
    <w:rsid w:val="00F804E6"/>
    <w:rsid w:val="00FF4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58BE"/>
  <w15:chartTrackingRefBased/>
  <w15:docId w15:val="{6DFCBAFA-9714-42C3-A3CE-ECB0C490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A33F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8A33F8"/>
    <w:rPr>
      <w:rFonts w:ascii="Consolas" w:hAnsi="Consolas"/>
      <w:sz w:val="21"/>
      <w:szCs w:val="21"/>
    </w:rPr>
  </w:style>
  <w:style w:type="paragraph" w:styleId="Header">
    <w:name w:val="header"/>
    <w:basedOn w:val="Normal"/>
    <w:link w:val="HeaderChar"/>
    <w:uiPriority w:val="99"/>
    <w:unhideWhenUsed/>
    <w:rsid w:val="00745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48"/>
  </w:style>
  <w:style w:type="paragraph" w:styleId="Footer">
    <w:name w:val="footer"/>
    <w:basedOn w:val="Normal"/>
    <w:link w:val="FooterChar"/>
    <w:uiPriority w:val="99"/>
    <w:unhideWhenUsed/>
    <w:rsid w:val="00745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David Casto</dc:creator>
  <cp:keywords/>
  <dc:description/>
  <cp:lastModifiedBy>Joshua E. Hudkins</cp:lastModifiedBy>
  <cp:revision>213</cp:revision>
  <dcterms:created xsi:type="dcterms:W3CDTF">2023-11-08T19:26:00Z</dcterms:created>
  <dcterms:modified xsi:type="dcterms:W3CDTF">2023-11-28T15:08:00Z</dcterms:modified>
</cp:coreProperties>
</file>