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64190985" w:rsidR="00F62CE5" w:rsidRPr="00B07098" w:rsidRDefault="00F62CE5">
      <w:pPr>
        <w:jc w:val="center"/>
        <w:rPr>
          <w:b/>
          <w:bCs/>
        </w:rPr>
      </w:pPr>
      <w:r w:rsidRPr="00B07098">
        <w:rPr>
          <w:b/>
          <w:bCs/>
        </w:rPr>
        <w:t>VOTING BALLOT #</w:t>
      </w:r>
      <w:r w:rsidR="00AA34CA">
        <w:rPr>
          <w:b/>
          <w:bCs/>
        </w:rPr>
        <w:t>24</w:t>
      </w:r>
      <w:r w:rsidR="00BB15D4">
        <w:rPr>
          <w:b/>
          <w:bCs/>
        </w:rPr>
        <w:t>-</w:t>
      </w:r>
      <w:r w:rsidR="004563DC">
        <w:rPr>
          <w:b/>
          <w:bCs/>
        </w:rPr>
        <w:t>0</w:t>
      </w:r>
      <w:r w:rsidR="0070130F">
        <w:rPr>
          <w:b/>
          <w:bCs/>
        </w:rPr>
        <w:t>1</w:t>
      </w:r>
    </w:p>
    <w:p w14:paraId="02BD0619" w14:textId="77777777" w:rsidR="00096D4C" w:rsidRDefault="00096D4C">
      <w:pPr>
        <w:jc w:val="center"/>
        <w:rPr>
          <w:b/>
          <w:bCs/>
        </w:rPr>
      </w:pPr>
    </w:p>
    <w:p w14:paraId="289F9CF7" w14:textId="217C40BA"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AA34CA">
        <w:rPr>
          <w:sz w:val="20"/>
          <w:szCs w:val="20"/>
        </w:rPr>
        <w:t>24</w:t>
      </w:r>
      <w:r w:rsidR="00013B6B">
        <w:rPr>
          <w:sz w:val="20"/>
          <w:szCs w:val="20"/>
        </w:rPr>
        <w:t>-</w:t>
      </w:r>
      <w:r w:rsidR="004563DC">
        <w:rPr>
          <w:sz w:val="20"/>
          <w:szCs w:val="20"/>
        </w:rPr>
        <w:t>0</w:t>
      </w:r>
      <w:r w:rsidR="0070130F">
        <w:rPr>
          <w:sz w:val="20"/>
          <w:szCs w:val="20"/>
        </w:rPr>
        <w:t>1</w:t>
      </w:r>
      <w:r w:rsidR="00013B6B">
        <w:rPr>
          <w:sz w:val="20"/>
          <w:szCs w:val="20"/>
        </w:rPr>
        <w:t xml:space="preserve"> at the </w:t>
      </w:r>
      <w:r w:rsidR="00FD7EED">
        <w:rPr>
          <w:sz w:val="20"/>
          <w:szCs w:val="20"/>
        </w:rPr>
        <w:t>February</w:t>
      </w:r>
      <w:r w:rsidR="00D51E92">
        <w:rPr>
          <w:sz w:val="20"/>
          <w:szCs w:val="20"/>
        </w:rPr>
        <w:t xml:space="preserve"> </w:t>
      </w:r>
      <w:r w:rsidR="00FD7EED">
        <w:rPr>
          <w:sz w:val="20"/>
          <w:szCs w:val="20"/>
        </w:rPr>
        <w:t>15</w:t>
      </w:r>
      <w:r w:rsidR="00D51E92">
        <w:rPr>
          <w:sz w:val="20"/>
          <w:szCs w:val="20"/>
        </w:rPr>
        <w:t xml:space="preserve">, </w:t>
      </w:r>
      <w:proofErr w:type="gramStart"/>
      <w:r w:rsidR="00D51E92">
        <w:rPr>
          <w:sz w:val="20"/>
          <w:szCs w:val="20"/>
        </w:rPr>
        <w:t>202</w:t>
      </w:r>
      <w:r w:rsidR="00FD7EED">
        <w:rPr>
          <w:sz w:val="20"/>
          <w:szCs w:val="20"/>
        </w:rPr>
        <w:t>4</w:t>
      </w:r>
      <w:proofErr w:type="gramEnd"/>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318B6EA0"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362C95">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BB84F5" w14:textId="6796EED3" w:rsidR="0066310A" w:rsidRDefault="0066310A" w:rsidP="006E332C">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FD7EED">
        <w:rPr>
          <w:b/>
          <w:sz w:val="20"/>
          <w:szCs w:val="20"/>
        </w:rPr>
        <w:t>February</w:t>
      </w:r>
      <w:r>
        <w:rPr>
          <w:b/>
          <w:sz w:val="20"/>
          <w:szCs w:val="20"/>
        </w:rPr>
        <w:t xml:space="preserve"> </w:t>
      </w:r>
      <w:r w:rsidR="00A01FF6">
        <w:rPr>
          <w:b/>
          <w:sz w:val="20"/>
          <w:szCs w:val="20"/>
        </w:rPr>
        <w:t>2</w:t>
      </w:r>
      <w:r w:rsidR="00FD7EED">
        <w:rPr>
          <w:b/>
          <w:sz w:val="20"/>
          <w:szCs w:val="20"/>
        </w:rPr>
        <w:t>1</w:t>
      </w:r>
      <w:r w:rsidR="00BB15D4">
        <w:rPr>
          <w:b/>
          <w:sz w:val="20"/>
          <w:szCs w:val="20"/>
        </w:rPr>
        <w:t>, 20</w:t>
      </w:r>
      <w:r w:rsidR="00D51E92">
        <w:rPr>
          <w:b/>
          <w:sz w:val="20"/>
          <w:szCs w:val="20"/>
        </w:rPr>
        <w:t>2</w:t>
      </w:r>
      <w:r w:rsidR="00FD7EED">
        <w:rPr>
          <w:b/>
          <w:sz w:val="20"/>
          <w:szCs w:val="20"/>
        </w:rPr>
        <w:t>4</w:t>
      </w:r>
      <w:r>
        <w:rPr>
          <w:b/>
          <w:sz w:val="20"/>
          <w:szCs w:val="20"/>
        </w:rPr>
        <w:t>.</w:t>
      </w:r>
    </w:p>
    <w:p w14:paraId="45E8873E" w14:textId="77777777" w:rsidR="0066310A" w:rsidRPr="005B3CB1" w:rsidRDefault="0066310A" w:rsidP="00A87752">
      <w:pPr>
        <w:autoSpaceDE w:val="0"/>
        <w:autoSpaceDN w:val="0"/>
        <w:adjustRightInd w:val="0"/>
        <w:rPr>
          <w:b/>
          <w:sz w:val="20"/>
          <w:szCs w:val="20"/>
        </w:rPr>
      </w:pPr>
    </w:p>
    <w:p w14:paraId="04992002" w14:textId="77777777" w:rsidR="00A33E23" w:rsidRPr="005B3CB1" w:rsidRDefault="00A33E23" w:rsidP="00A87752">
      <w:pPr>
        <w:autoSpaceDE w:val="0"/>
        <w:autoSpaceDN w:val="0"/>
        <w:adjustRightInd w:val="0"/>
        <w:rPr>
          <w:b/>
          <w:sz w:val="20"/>
          <w:szCs w:val="20"/>
        </w:rPr>
      </w:pPr>
    </w:p>
    <w:p w14:paraId="016D8EF9" w14:textId="77777777" w:rsidR="00A10522" w:rsidRDefault="00A10522" w:rsidP="00A10522"/>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0A0615">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6D1F7D79"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FD7EED">
        <w:rPr>
          <w:b/>
          <w:bCs/>
          <w:u w:val="single"/>
        </w:rPr>
        <w:t>4</w:t>
      </w:r>
      <w:r w:rsidRPr="00984BD3">
        <w:rPr>
          <w:b/>
          <w:bCs/>
          <w:u w:val="single"/>
        </w:rPr>
        <w:t xml:space="preserve"> </w:t>
      </w:r>
    </w:p>
    <w:p w14:paraId="05D6344F" w14:textId="151D2E46" w:rsidR="00DF3C7E" w:rsidRDefault="00DF3C7E" w:rsidP="00984BD3">
      <w:pPr>
        <w:tabs>
          <w:tab w:val="left" w:pos="720"/>
          <w:tab w:val="left" w:pos="3600"/>
          <w:tab w:val="left" w:pos="4320"/>
        </w:tabs>
        <w:jc w:val="center"/>
        <w:rPr>
          <w:bCs/>
          <w:sz w:val="20"/>
          <w:szCs w:val="20"/>
        </w:rPr>
      </w:pPr>
    </w:p>
    <w:p w14:paraId="083ED491" w14:textId="77777777" w:rsidR="005F66E6"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r w:rsidR="005F66E6">
        <w:rPr>
          <w:b/>
        </w:rPr>
        <w:t xml:space="preserve">  </w:t>
      </w:r>
    </w:p>
    <w:p w14:paraId="4D5E225F" w14:textId="77777777" w:rsidR="005F66E6" w:rsidRDefault="005F66E6" w:rsidP="00984BD3">
      <w:pPr>
        <w:tabs>
          <w:tab w:val="left" w:pos="720"/>
          <w:tab w:val="left" w:pos="3600"/>
          <w:tab w:val="left" w:pos="4320"/>
        </w:tabs>
        <w:rPr>
          <w:b/>
        </w:rPr>
      </w:pPr>
      <w:r>
        <w:rPr>
          <w:b/>
        </w:rPr>
        <w:t xml:space="preserve">                                                                           </w:t>
      </w:r>
    </w:p>
    <w:p w14:paraId="3069AE69" w14:textId="77777777" w:rsidR="005A4A09" w:rsidRDefault="005F66E6" w:rsidP="00984BD3">
      <w:pPr>
        <w:tabs>
          <w:tab w:val="left" w:pos="720"/>
          <w:tab w:val="left" w:pos="3600"/>
          <w:tab w:val="left" w:pos="4320"/>
        </w:tabs>
        <w:rPr>
          <w:color w:val="000000"/>
        </w:rPr>
      </w:pPr>
      <w:r>
        <w:rPr>
          <w:b/>
        </w:rPr>
        <w:t xml:space="preserve">                                                                        </w:t>
      </w:r>
      <w:r w:rsidR="00DE0EFE">
        <w:rPr>
          <w:bCs/>
        </w:rPr>
        <w:t xml:space="preserve">182000     </w:t>
      </w:r>
      <w:r w:rsidR="00DE0EFE" w:rsidRPr="00DE0EFE">
        <w:rPr>
          <w:color w:val="000000"/>
        </w:rPr>
        <w:t>Yes ___ No ___</w:t>
      </w:r>
    </w:p>
    <w:p w14:paraId="4660A167" w14:textId="77777777" w:rsidR="005A4A09" w:rsidRDefault="005A4A09" w:rsidP="00984BD3">
      <w:pPr>
        <w:tabs>
          <w:tab w:val="left" w:pos="720"/>
          <w:tab w:val="left" w:pos="3600"/>
          <w:tab w:val="left" w:pos="4320"/>
        </w:tabs>
        <w:rPr>
          <w:color w:val="000000"/>
        </w:rPr>
      </w:pPr>
      <w:r>
        <w:rPr>
          <w:color w:val="000000"/>
        </w:rPr>
        <w:tab/>
      </w:r>
      <w:r>
        <w:rPr>
          <w:color w:val="000000"/>
        </w:rPr>
        <w:tab/>
      </w:r>
      <w:r>
        <w:rPr>
          <w:color w:val="000000"/>
        </w:rPr>
        <w:tab/>
        <w:t xml:space="preserve">193000     </w:t>
      </w:r>
      <w:r w:rsidRPr="00DE0EFE">
        <w:rPr>
          <w:color w:val="000000"/>
        </w:rPr>
        <w:t>Yes ___ No ___</w:t>
      </w:r>
    </w:p>
    <w:p w14:paraId="7E750BA6" w14:textId="45E4C020" w:rsidR="00DE0EFE" w:rsidRDefault="005A4A09" w:rsidP="00984BD3">
      <w:pPr>
        <w:tabs>
          <w:tab w:val="left" w:pos="720"/>
          <w:tab w:val="left" w:pos="3600"/>
          <w:tab w:val="left" w:pos="4320"/>
        </w:tabs>
        <w:rPr>
          <w:bCs/>
        </w:rPr>
      </w:pPr>
      <w:r>
        <w:rPr>
          <w:color w:val="000000"/>
        </w:rPr>
        <w:tab/>
      </w:r>
      <w:r>
        <w:rPr>
          <w:color w:val="000000"/>
        </w:rPr>
        <w:tab/>
      </w:r>
      <w:r>
        <w:rPr>
          <w:color w:val="000000"/>
        </w:rPr>
        <w:tab/>
        <w:t xml:space="preserve">195000     </w:t>
      </w:r>
      <w:r w:rsidRPr="00DE0EFE">
        <w:rPr>
          <w:color w:val="000000"/>
        </w:rPr>
        <w:t>Yes ___ No ___</w:t>
      </w:r>
      <w:r w:rsidR="00DE0EFE">
        <w:rPr>
          <w:bCs/>
        </w:rPr>
        <w:tab/>
      </w:r>
    </w:p>
    <w:p w14:paraId="1B85015C" w14:textId="19B1089F" w:rsidR="00984BD3" w:rsidRDefault="00DE0EFE" w:rsidP="00984BD3">
      <w:pPr>
        <w:tabs>
          <w:tab w:val="left" w:pos="720"/>
          <w:tab w:val="left" w:pos="3600"/>
          <w:tab w:val="left" w:pos="4320"/>
        </w:tabs>
        <w:rPr>
          <w:b/>
        </w:rPr>
      </w:pPr>
      <w:r>
        <w:rPr>
          <w:bCs/>
        </w:rPr>
        <w:tab/>
      </w:r>
      <w:r>
        <w:rPr>
          <w:bCs/>
        </w:rPr>
        <w:tab/>
      </w:r>
      <w:r>
        <w:rPr>
          <w:bCs/>
        </w:rPr>
        <w:tab/>
      </w:r>
      <w:r w:rsidR="005F66E6" w:rsidRPr="005F66E6">
        <w:rPr>
          <w:bCs/>
        </w:rPr>
        <w:t>411910</w:t>
      </w:r>
      <w:r w:rsidR="005F66E6">
        <w:rPr>
          <w:b/>
        </w:rPr>
        <w:t xml:space="preserve">     </w:t>
      </w:r>
      <w:r w:rsidR="005F66E6" w:rsidRPr="00DE0EFE">
        <w:rPr>
          <w:color w:val="000000"/>
        </w:rPr>
        <w:t>Yes ___ No ___</w:t>
      </w:r>
    </w:p>
    <w:p w14:paraId="32484D85" w14:textId="22AC9A17" w:rsidR="00010279" w:rsidRDefault="00DE0EFE" w:rsidP="00D93996">
      <w:pPr>
        <w:tabs>
          <w:tab w:val="left" w:pos="720"/>
          <w:tab w:val="left" w:pos="3600"/>
          <w:tab w:val="left" w:pos="4320"/>
        </w:tabs>
        <w:rPr>
          <w:b/>
          <w:bCs/>
        </w:rPr>
      </w:pPr>
      <w:r>
        <w:rPr>
          <w:b/>
          <w:bCs/>
        </w:rPr>
        <w:tab/>
      </w:r>
      <w:r>
        <w:rPr>
          <w:b/>
          <w:bCs/>
        </w:rPr>
        <w:tab/>
      </w:r>
      <w:r>
        <w:rPr>
          <w:b/>
          <w:bCs/>
        </w:rPr>
        <w:tab/>
      </w:r>
    </w:p>
    <w:p w14:paraId="700B8DAD" w14:textId="35139C51" w:rsidR="00C0450B" w:rsidRDefault="00C0450B" w:rsidP="008F2F37">
      <w:pPr>
        <w:spacing w:after="120"/>
        <w:rPr>
          <w:b/>
          <w:bCs/>
        </w:rPr>
      </w:pPr>
    </w:p>
    <w:p w14:paraId="4C608CF1" w14:textId="77777777" w:rsidR="00010C52" w:rsidRDefault="00010C52" w:rsidP="008F2F37">
      <w:pPr>
        <w:spacing w:after="120"/>
        <w:rPr>
          <w:b/>
          <w:bCs/>
        </w:rPr>
      </w:pP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6F7D0721" w14:textId="2A875D0C" w:rsidR="0071785C" w:rsidRDefault="0071785C" w:rsidP="008F2F37">
      <w:pPr>
        <w:spacing w:after="120"/>
      </w:pPr>
    </w:p>
    <w:p w14:paraId="6E100C99" w14:textId="77777777" w:rsidR="00563F0F" w:rsidRDefault="00563F0F" w:rsidP="00C0450B">
      <w:pPr>
        <w:spacing w:after="120"/>
        <w:rPr>
          <w:b/>
          <w:bCs/>
          <w:u w:val="single"/>
        </w:rPr>
      </w:pPr>
    </w:p>
    <w:p w14:paraId="26096A1B" w14:textId="415CD914" w:rsidR="0071785C" w:rsidRDefault="0071785C" w:rsidP="0071785C">
      <w:pPr>
        <w:spacing w:after="120"/>
        <w:jc w:val="center"/>
        <w:rPr>
          <w:b/>
          <w:bCs/>
          <w:u w:val="single"/>
        </w:rPr>
      </w:pPr>
      <w:r>
        <w:rPr>
          <w:b/>
          <w:bCs/>
          <w:u w:val="single"/>
        </w:rPr>
        <w:t>FISCAL YEAR 202</w:t>
      </w:r>
      <w:r w:rsidR="00FD7EED">
        <w:rPr>
          <w:b/>
          <w:bCs/>
          <w:u w:val="single"/>
        </w:rPr>
        <w:t>5</w:t>
      </w:r>
    </w:p>
    <w:p w14:paraId="4C0ABA25" w14:textId="68FAB778" w:rsidR="0071785C" w:rsidRDefault="0071785C" w:rsidP="0071785C">
      <w:pPr>
        <w:spacing w:after="120"/>
        <w:rPr>
          <w:b/>
          <w:bCs/>
        </w:rPr>
      </w:pPr>
      <w:r>
        <w:rPr>
          <w:b/>
          <w:bCs/>
        </w:rPr>
        <w:t>ADD:</w:t>
      </w:r>
      <w:r w:rsidR="009308E9">
        <w:rPr>
          <w:b/>
          <w:bCs/>
        </w:rPr>
        <w:t xml:space="preserve">                                                                            CHANGE:</w:t>
      </w:r>
    </w:p>
    <w:p w14:paraId="704EECEF" w14:textId="77777777" w:rsidR="000A0615" w:rsidRDefault="000A0615" w:rsidP="0071785C">
      <w:pPr>
        <w:spacing w:after="120"/>
        <w:rPr>
          <w:b/>
          <w:bCs/>
        </w:rPr>
      </w:pPr>
    </w:p>
    <w:p w14:paraId="7E6EBA34" w14:textId="78EA50BA" w:rsidR="000A0615" w:rsidRDefault="000A0615" w:rsidP="0071785C">
      <w:pPr>
        <w:spacing w:after="120"/>
        <w:rPr>
          <w:b/>
          <w:bCs/>
        </w:rPr>
      </w:pPr>
    </w:p>
    <w:p w14:paraId="5027E8E1" w14:textId="5AA78DE0" w:rsidR="000A0615" w:rsidRPr="009308E9" w:rsidRDefault="000A0615" w:rsidP="0071785C">
      <w:pPr>
        <w:spacing w:after="120"/>
        <w:rPr>
          <w:b/>
          <w:bCs/>
        </w:rPr>
      </w:pPr>
      <w:r>
        <w:rPr>
          <w:b/>
          <w:bCs/>
        </w:rPr>
        <w:t>Delete:</w:t>
      </w:r>
    </w:p>
    <w:p w14:paraId="61F6D945" w14:textId="3D89506E" w:rsidR="008F2F37" w:rsidRDefault="008F2F37"/>
    <w:p w14:paraId="57DF60A1" w14:textId="2F8AE412" w:rsidR="00D93996" w:rsidRDefault="00D93996"/>
    <w:p w14:paraId="7E5C495F" w14:textId="77777777" w:rsidR="00D93996" w:rsidRPr="008F2F37" w:rsidRDefault="00D93996"/>
    <w:p w14:paraId="188179D8" w14:textId="77777777" w:rsidR="00914463" w:rsidRDefault="00914463">
      <w:pPr>
        <w:rPr>
          <w:sz w:val="20"/>
          <w:szCs w:val="20"/>
        </w:rPr>
      </w:pPr>
    </w:p>
    <w:p w14:paraId="7A2F6327" w14:textId="77777777" w:rsidR="00914463" w:rsidRDefault="00914463">
      <w:pPr>
        <w:rPr>
          <w:sz w:val="20"/>
          <w:szCs w:val="20"/>
        </w:rPr>
      </w:pPr>
    </w:p>
    <w:p w14:paraId="3A0F88AE" w14:textId="77777777" w:rsidR="00DF3C7E" w:rsidRDefault="00DF3C7E">
      <w:pPr>
        <w:rPr>
          <w:sz w:val="20"/>
          <w:szCs w:val="20"/>
        </w:rPr>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lastRenderedPageBreak/>
        <w:t>Agency: _____________________________________________</w:t>
      </w:r>
    </w:p>
    <w:p w14:paraId="346D4D2F" w14:textId="77777777" w:rsidR="0016034E" w:rsidRDefault="0016034E">
      <w:pPr>
        <w:rPr>
          <w:sz w:val="20"/>
          <w:szCs w:val="20"/>
        </w:rPr>
      </w:pPr>
    </w:p>
    <w:p w14:paraId="6036D273" w14:textId="77777777" w:rsidR="00082E8C" w:rsidRPr="00CD5460" w:rsidRDefault="00F62CE5" w:rsidP="00D121DF">
      <w:pPr>
        <w:rPr>
          <w:color w:val="000000"/>
        </w:rPr>
      </w:pPr>
      <w:r w:rsidRPr="00A355F1">
        <w:rPr>
          <w:sz w:val="20"/>
          <w:szCs w:val="20"/>
        </w:rPr>
        <w:t>Date: _____________________________</w:t>
      </w:r>
      <w:r w:rsidR="0016034E">
        <w:rPr>
          <w:sz w:val="20"/>
          <w:szCs w:val="20"/>
        </w:rPr>
        <w:br w:type="page"/>
      </w:r>
    </w:p>
    <w:p w14:paraId="32345F78" w14:textId="77777777" w:rsidR="00897149" w:rsidRPr="00082E8C" w:rsidRDefault="00897149" w:rsidP="00897149">
      <w:pPr>
        <w:rPr>
          <w:b/>
          <w:bCs/>
        </w:rPr>
      </w:pPr>
    </w:p>
    <w:p w14:paraId="148498AE" w14:textId="0CDF6D9C" w:rsidR="00C831EF" w:rsidRDefault="00AD65D3" w:rsidP="00CB1A23">
      <w:pPr>
        <w:autoSpaceDE w:val="0"/>
        <w:autoSpaceDN w:val="0"/>
        <w:adjustRightInd w:val="0"/>
        <w:spacing w:after="240"/>
      </w:pPr>
      <w:r>
        <w:rPr>
          <w:b/>
          <w:bCs/>
          <w:u w:val="single"/>
        </w:rPr>
        <w:t>PROPOSED NEW USSGL ACCOUNTS FOR FISCAL 202</w:t>
      </w:r>
      <w:r w:rsidR="00FD7EED">
        <w:rPr>
          <w:b/>
          <w:bCs/>
          <w:u w:val="single"/>
        </w:rPr>
        <w:t>4</w:t>
      </w:r>
    </w:p>
    <w:p w14:paraId="2580CEBF" w14:textId="59882A82" w:rsidR="00C831EF" w:rsidRPr="00C831EF" w:rsidRDefault="00C831EF" w:rsidP="00CB1A23">
      <w:pPr>
        <w:autoSpaceDE w:val="0"/>
        <w:autoSpaceDN w:val="0"/>
        <w:adjustRightInd w:val="0"/>
        <w:spacing w:after="240"/>
        <w:rPr>
          <w:sz w:val="23"/>
          <w:szCs w:val="23"/>
          <w:u w:val="single"/>
        </w:rPr>
      </w:pPr>
    </w:p>
    <w:p w14:paraId="57D3B51C" w14:textId="323F712B" w:rsidR="00C831EF" w:rsidRDefault="00C831EF" w:rsidP="00CB1A23">
      <w:pPr>
        <w:autoSpaceDE w:val="0"/>
        <w:autoSpaceDN w:val="0"/>
        <w:adjustRightInd w:val="0"/>
        <w:spacing w:after="240"/>
        <w:rPr>
          <w:b/>
          <w:bCs/>
          <w:u w:val="single"/>
        </w:rPr>
      </w:pPr>
      <w:r w:rsidRPr="00C831EF">
        <w:rPr>
          <w:b/>
          <w:bCs/>
          <w:u w:val="single"/>
        </w:rPr>
        <w:t>PROPOSED CHANGES TO USSGL ACCOUNTS FOR FISCAL 202</w:t>
      </w:r>
      <w:r w:rsidR="00FD7EED">
        <w:rPr>
          <w:b/>
          <w:bCs/>
          <w:u w:val="single"/>
        </w:rPr>
        <w:t>4</w:t>
      </w:r>
    </w:p>
    <w:p w14:paraId="52739CBB" w14:textId="77777777" w:rsidR="005F66E6" w:rsidRPr="007706BB" w:rsidRDefault="005F66E6" w:rsidP="005F66E6">
      <w:pPr>
        <w:pStyle w:val="PlainText"/>
        <w:keepNext/>
        <w:keepLines/>
        <w:tabs>
          <w:tab w:val="left" w:pos="1220"/>
          <w:tab w:val="left" w:pos="1920"/>
        </w:tabs>
        <w:ind w:left="1920" w:hanging="1920"/>
        <w:rPr>
          <w:rFonts w:ascii="TimesNewRoman" w:hAnsi="TimesNewRoman" w:cs="Courier New"/>
          <w:sz w:val="24"/>
        </w:rPr>
      </w:pPr>
      <w:r w:rsidRPr="007706BB">
        <w:rPr>
          <w:rFonts w:ascii="TimesNewRoman" w:hAnsi="TimesNewRoman" w:cs="Courier New"/>
          <w:b/>
          <w:sz w:val="24"/>
        </w:rPr>
        <w:t>Account Title</w:t>
      </w:r>
      <w:r w:rsidRPr="007706BB">
        <w:rPr>
          <w:rFonts w:ascii="TimesNewRoman" w:hAnsi="TimesNewRoman" w:cs="Courier New"/>
          <w:sz w:val="24"/>
        </w:rPr>
        <w:t>:</w:t>
      </w:r>
      <w:r w:rsidRPr="007706BB">
        <w:rPr>
          <w:rFonts w:ascii="TimesNewRoman" w:hAnsi="TimesNewRoman" w:cs="Courier New"/>
          <w:sz w:val="24"/>
        </w:rPr>
        <w:tab/>
        <w:t>Indefinite Appropriation - Upward Adjustments</w:t>
      </w:r>
    </w:p>
    <w:p w14:paraId="385098BC" w14:textId="77777777" w:rsidR="005F66E6" w:rsidRPr="007706BB" w:rsidRDefault="005F66E6" w:rsidP="005F66E6">
      <w:pPr>
        <w:pStyle w:val="PlainText"/>
        <w:keepNext/>
        <w:keepLines/>
        <w:tabs>
          <w:tab w:val="left" w:pos="1220"/>
          <w:tab w:val="left" w:pos="1920"/>
        </w:tabs>
        <w:ind w:left="1920" w:hanging="1920"/>
        <w:rPr>
          <w:rFonts w:ascii="TimesNewRoman" w:hAnsi="TimesNewRoman" w:cs="Courier New"/>
          <w:sz w:val="24"/>
        </w:rPr>
      </w:pPr>
      <w:r w:rsidRPr="007706BB">
        <w:rPr>
          <w:rFonts w:ascii="TimesNewRoman" w:hAnsi="TimesNewRoman" w:cs="Courier New"/>
          <w:b/>
          <w:sz w:val="24"/>
        </w:rPr>
        <w:t>Account Number</w:t>
      </w:r>
      <w:r w:rsidRPr="007706BB">
        <w:rPr>
          <w:rFonts w:ascii="TimesNewRoman" w:hAnsi="TimesNewRoman" w:cs="Courier New"/>
          <w:sz w:val="24"/>
        </w:rPr>
        <w:t>:</w:t>
      </w:r>
      <w:r w:rsidRPr="007706BB">
        <w:rPr>
          <w:rFonts w:ascii="TimesNewRoman" w:hAnsi="TimesNewRoman" w:cs="Courier New"/>
          <w:sz w:val="24"/>
        </w:rPr>
        <w:tab/>
        <w:t>411910</w:t>
      </w:r>
    </w:p>
    <w:p w14:paraId="0700463B" w14:textId="77777777" w:rsidR="005F66E6" w:rsidRPr="007706BB" w:rsidRDefault="005F66E6" w:rsidP="005F66E6">
      <w:pPr>
        <w:pStyle w:val="PlainText"/>
        <w:keepNext/>
        <w:keepLines/>
        <w:tabs>
          <w:tab w:val="left" w:pos="1220"/>
          <w:tab w:val="left" w:pos="1920"/>
        </w:tabs>
        <w:ind w:left="1920" w:hanging="1920"/>
        <w:rPr>
          <w:rFonts w:ascii="TimesNewRoman" w:hAnsi="TimesNewRoman" w:cs="Courier New"/>
          <w:sz w:val="24"/>
        </w:rPr>
      </w:pPr>
      <w:r w:rsidRPr="007706BB">
        <w:rPr>
          <w:rFonts w:ascii="TimesNewRoman" w:hAnsi="TimesNewRoman" w:cs="Courier New"/>
          <w:b/>
          <w:sz w:val="24"/>
        </w:rPr>
        <w:t>Normal Balance</w:t>
      </w:r>
      <w:r w:rsidRPr="007706BB">
        <w:rPr>
          <w:rFonts w:ascii="TimesNewRoman" w:hAnsi="TimesNewRoman" w:cs="Courier New"/>
          <w:sz w:val="24"/>
        </w:rPr>
        <w:t>:</w:t>
      </w:r>
      <w:r w:rsidRPr="007706BB">
        <w:rPr>
          <w:rFonts w:ascii="TimesNewRoman" w:hAnsi="TimesNewRoman" w:cs="Courier New"/>
          <w:sz w:val="24"/>
        </w:rPr>
        <w:tab/>
        <w:t>Debit</w:t>
      </w:r>
    </w:p>
    <w:p w14:paraId="3CD0E892" w14:textId="77777777" w:rsidR="005F66E6" w:rsidRDefault="005F66E6" w:rsidP="005F66E6">
      <w:pPr>
        <w:pStyle w:val="PlainText"/>
        <w:keepNext/>
        <w:keepLines/>
        <w:tabs>
          <w:tab w:val="left" w:pos="1220"/>
          <w:tab w:val="left" w:pos="1920"/>
        </w:tabs>
        <w:ind w:left="1220" w:hanging="1220"/>
        <w:rPr>
          <w:rFonts w:ascii="TimesNewRoman" w:hAnsi="TimesNewRoman" w:cs="Courier New"/>
          <w:sz w:val="24"/>
        </w:rPr>
      </w:pPr>
      <w:r w:rsidRPr="007706BB">
        <w:rPr>
          <w:rFonts w:ascii="TimesNewRoman" w:hAnsi="TimesNewRoman" w:cs="Courier New"/>
          <w:b/>
          <w:sz w:val="24"/>
        </w:rPr>
        <w:t>Definition</w:t>
      </w:r>
      <w:r w:rsidRPr="007706BB">
        <w:rPr>
          <w:rFonts w:ascii="TimesNewRoman" w:hAnsi="TimesNewRoman" w:cs="Courier New"/>
          <w:sz w:val="24"/>
        </w:rPr>
        <w:t>:</w:t>
      </w:r>
      <w:r w:rsidRPr="007706BB">
        <w:rPr>
          <w:rFonts w:ascii="TimesNewRoman" w:hAnsi="TimesNewRoman" w:cs="Courier New"/>
          <w:sz w:val="24"/>
        </w:rPr>
        <w:tab/>
        <w:t>The amount of budgetary authority derived from the General Fund of the U.S.</w:t>
      </w:r>
    </w:p>
    <w:p w14:paraId="33BBAC22" w14:textId="0BD1177B" w:rsidR="005F66E6" w:rsidRPr="005F66E6" w:rsidRDefault="005F66E6" w:rsidP="005F66E6">
      <w:pPr>
        <w:pStyle w:val="PlainText"/>
        <w:keepNext/>
        <w:keepLines/>
        <w:tabs>
          <w:tab w:val="left" w:pos="1220"/>
          <w:tab w:val="left" w:pos="1920"/>
        </w:tabs>
        <w:ind w:left="1220" w:hanging="1220"/>
        <w:rPr>
          <w:rFonts w:ascii="TimesNewRoman" w:hAnsi="TimesNewRoman" w:cs="Courier New"/>
          <w:strike/>
          <w:color w:val="FF0000"/>
          <w:sz w:val="24"/>
          <w:highlight w:val="yellow"/>
        </w:rPr>
      </w:pPr>
      <w:r w:rsidRPr="007706BB">
        <w:rPr>
          <w:rFonts w:ascii="TimesNewRoman" w:hAnsi="TimesNewRoman" w:cs="Courier New"/>
          <w:sz w:val="24"/>
        </w:rPr>
        <w:t xml:space="preserve">Government to cover upward adjustments where a prior year appropriation act is cited. </w:t>
      </w:r>
      <w:r w:rsidRPr="005F66E6">
        <w:rPr>
          <w:rFonts w:ascii="TimesNewRoman" w:hAnsi="TimesNewRoman" w:cs="Courier New"/>
          <w:strike/>
          <w:color w:val="FF0000"/>
          <w:sz w:val="24"/>
          <w:highlight w:val="yellow"/>
        </w:rPr>
        <w:t>This</w:t>
      </w:r>
    </w:p>
    <w:p w14:paraId="3093086C" w14:textId="6F7E7D15" w:rsidR="005F66E6" w:rsidRPr="007706BB" w:rsidRDefault="005F66E6" w:rsidP="005F66E6">
      <w:pPr>
        <w:pStyle w:val="PlainText"/>
        <w:keepNext/>
        <w:keepLines/>
        <w:tabs>
          <w:tab w:val="left" w:pos="1220"/>
          <w:tab w:val="left" w:pos="1920"/>
        </w:tabs>
        <w:ind w:left="1220" w:hanging="1220"/>
        <w:rPr>
          <w:rFonts w:ascii="TimesNewRoman" w:hAnsi="TimesNewRoman" w:cs="Courier New"/>
          <w:sz w:val="24"/>
        </w:rPr>
      </w:pPr>
      <w:r w:rsidRPr="005F66E6">
        <w:rPr>
          <w:rFonts w:ascii="TimesNewRoman" w:hAnsi="TimesNewRoman" w:cs="Courier New"/>
          <w:strike/>
          <w:color w:val="FF0000"/>
          <w:sz w:val="24"/>
          <w:highlight w:val="yellow"/>
        </w:rPr>
        <w:t>USSGL is not applicable to no-year Treasury accounts.</w:t>
      </w:r>
    </w:p>
    <w:p w14:paraId="28AA4DE3" w14:textId="77777777" w:rsidR="00AA6900" w:rsidRDefault="00AA6900" w:rsidP="00AA6900">
      <w:pPr>
        <w:autoSpaceDE w:val="0"/>
        <w:autoSpaceDN w:val="0"/>
        <w:adjustRightInd w:val="0"/>
        <w:spacing w:after="240"/>
        <w:rPr>
          <w:color w:val="000000"/>
          <w:sz w:val="23"/>
          <w:szCs w:val="23"/>
        </w:rPr>
      </w:pPr>
    </w:p>
    <w:p w14:paraId="61745D00" w14:textId="77777777" w:rsidR="00E06C33" w:rsidRDefault="00E06C33" w:rsidP="00E06C33">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b/>
          <w:bCs/>
          <w:sz w:val="24"/>
        </w:rPr>
        <w:t xml:space="preserve">Justification: </w:t>
      </w:r>
      <w:r>
        <w:rPr>
          <w:rFonts w:ascii="TimesNewRoman" w:hAnsi="TimesNewRoman" w:cs="Courier New"/>
          <w:sz w:val="24"/>
        </w:rPr>
        <w:t>Based on OMB Circular A-11, Appendix F, Section 18.22, this account can</w:t>
      </w:r>
    </w:p>
    <w:p w14:paraId="43EFCC10" w14:textId="4820A503" w:rsidR="00E06C33" w:rsidRDefault="00E06C33" w:rsidP="00E06C33">
      <w:pPr>
        <w:autoSpaceDE w:val="0"/>
        <w:autoSpaceDN w:val="0"/>
        <w:adjustRightInd w:val="0"/>
        <w:spacing w:after="240"/>
        <w:rPr>
          <w:rFonts w:ascii="TimesNewRoman" w:hAnsi="TimesNewRoman" w:cs="Courier New"/>
        </w:rPr>
      </w:pPr>
      <w:r>
        <w:rPr>
          <w:rFonts w:ascii="TimesNewRoman" w:hAnsi="TimesNewRoman" w:cs="Courier New"/>
        </w:rPr>
        <w:t>currently be used with no-year Treasury accounts.</w:t>
      </w:r>
    </w:p>
    <w:p w14:paraId="6743A6FF" w14:textId="77777777" w:rsidR="0000315E" w:rsidRDefault="0000315E" w:rsidP="00451556">
      <w:pPr>
        <w:autoSpaceDE w:val="0"/>
        <w:autoSpaceDN w:val="0"/>
        <w:adjustRightInd w:val="0"/>
        <w:rPr>
          <w:rFonts w:ascii="TimesNewRoman" w:hAnsi="TimesNewRoman" w:cs="Courier New"/>
        </w:rPr>
      </w:pPr>
    </w:p>
    <w:p w14:paraId="7D3265C1" w14:textId="2EF0CF0B" w:rsidR="00451556" w:rsidRPr="00451556" w:rsidRDefault="00451556" w:rsidP="00451556">
      <w:pPr>
        <w:autoSpaceDE w:val="0"/>
        <w:autoSpaceDN w:val="0"/>
        <w:adjustRightInd w:val="0"/>
        <w:rPr>
          <w:rFonts w:ascii="TimesNewRoman" w:hAnsi="TimesNewRoman" w:cs="Courier New"/>
        </w:rPr>
      </w:pPr>
      <w:r w:rsidRPr="00451556">
        <w:rPr>
          <w:rFonts w:ascii="TimesNewRoman" w:hAnsi="TimesNewRoman" w:cs="Courier New"/>
          <w:b/>
          <w:bCs/>
        </w:rPr>
        <w:t>Account Title:</w:t>
      </w:r>
      <w:r w:rsidRPr="00451556">
        <w:rPr>
          <w:rFonts w:ascii="TimesNewRoman" w:hAnsi="TimesNewRoman" w:cs="Courier New"/>
        </w:rPr>
        <w:t xml:space="preserve"> </w:t>
      </w:r>
      <w:r w:rsidR="003A59E0">
        <w:rPr>
          <w:rFonts w:ascii="TimesNewRoman" w:hAnsi="TimesNewRoman" w:cs="Courier New"/>
        </w:rPr>
        <w:t xml:space="preserve">       </w:t>
      </w:r>
      <w:r w:rsidRPr="00451556">
        <w:rPr>
          <w:rFonts w:ascii="TimesNewRoman" w:hAnsi="TimesNewRoman" w:cs="Courier New"/>
        </w:rPr>
        <w:t>Leasehold Improvements</w:t>
      </w:r>
    </w:p>
    <w:p w14:paraId="11769407" w14:textId="0840C8C4" w:rsidR="00451556" w:rsidRPr="00451556" w:rsidRDefault="00451556" w:rsidP="00451556">
      <w:pPr>
        <w:autoSpaceDE w:val="0"/>
        <w:autoSpaceDN w:val="0"/>
        <w:adjustRightInd w:val="0"/>
        <w:rPr>
          <w:rFonts w:ascii="TimesNewRoman" w:hAnsi="TimesNewRoman" w:cs="Courier New"/>
        </w:rPr>
      </w:pPr>
      <w:r w:rsidRPr="00451556">
        <w:rPr>
          <w:rFonts w:ascii="TimesNewRoman" w:hAnsi="TimesNewRoman" w:cs="Courier New"/>
          <w:b/>
          <w:bCs/>
        </w:rPr>
        <w:t>Account Number:</w:t>
      </w:r>
      <w:r w:rsidRPr="00451556">
        <w:rPr>
          <w:rFonts w:ascii="TimesNewRoman" w:hAnsi="TimesNewRoman" w:cs="Courier New"/>
        </w:rPr>
        <w:t xml:space="preserve"> 182000 </w:t>
      </w:r>
    </w:p>
    <w:p w14:paraId="0D198E36" w14:textId="72190458" w:rsidR="00451556" w:rsidRPr="00451556" w:rsidRDefault="00451556" w:rsidP="00451556">
      <w:pPr>
        <w:autoSpaceDE w:val="0"/>
        <w:autoSpaceDN w:val="0"/>
        <w:adjustRightInd w:val="0"/>
        <w:rPr>
          <w:rFonts w:ascii="TimesNewRoman" w:hAnsi="TimesNewRoman" w:cs="Courier New"/>
        </w:rPr>
      </w:pPr>
      <w:r w:rsidRPr="00451556">
        <w:rPr>
          <w:rFonts w:ascii="TimesNewRoman" w:hAnsi="TimesNewRoman" w:cs="Courier New"/>
          <w:b/>
          <w:bCs/>
        </w:rPr>
        <w:t>Normal Balance:</w:t>
      </w:r>
      <w:r w:rsidRPr="00451556">
        <w:rPr>
          <w:rFonts w:ascii="TimesNewRoman" w:hAnsi="TimesNewRoman" w:cs="Courier New"/>
        </w:rPr>
        <w:t xml:space="preserve"> </w:t>
      </w:r>
      <w:r w:rsidR="003A59E0">
        <w:rPr>
          <w:rFonts w:ascii="TimesNewRoman" w:hAnsi="TimesNewRoman" w:cs="Courier New"/>
        </w:rPr>
        <w:t xml:space="preserve">  </w:t>
      </w:r>
      <w:r w:rsidRPr="00451556">
        <w:rPr>
          <w:rFonts w:ascii="TimesNewRoman" w:hAnsi="TimesNewRoman" w:cs="Courier New"/>
        </w:rPr>
        <w:t>Debit</w:t>
      </w:r>
    </w:p>
    <w:p w14:paraId="237826EF" w14:textId="16D983F7" w:rsidR="00451556" w:rsidRPr="004B54E2" w:rsidRDefault="00451556" w:rsidP="00451556">
      <w:pPr>
        <w:autoSpaceDE w:val="0"/>
        <w:autoSpaceDN w:val="0"/>
        <w:adjustRightInd w:val="0"/>
        <w:spacing w:after="240"/>
        <w:rPr>
          <w:rFonts w:ascii="TimesNewRoman" w:hAnsi="TimesNewRoman" w:cs="Courier New"/>
        </w:rPr>
      </w:pPr>
      <w:r w:rsidRPr="00451556">
        <w:rPr>
          <w:rFonts w:ascii="TimesNewRoman" w:hAnsi="TimesNewRoman" w:cs="Courier New"/>
          <w:b/>
          <w:bCs/>
        </w:rPr>
        <w:t>Definition:</w:t>
      </w:r>
      <w:r w:rsidRPr="00451556">
        <w:rPr>
          <w:rFonts w:ascii="TimesNewRoman" w:hAnsi="TimesNewRoman" w:cs="Courier New"/>
        </w:rPr>
        <w:t xml:space="preserve"> </w:t>
      </w:r>
      <w:r w:rsidRPr="004B54E2">
        <w:rPr>
          <w:rFonts w:ascii="TimesNewRoman" w:hAnsi="TimesNewRoman" w:cs="Courier New"/>
        </w:rPr>
        <w:t xml:space="preserve">This account is used to record the </w:t>
      </w:r>
      <w:r w:rsidRPr="004B54E2">
        <w:rPr>
          <w:rFonts w:ascii="TimesNewRoman" w:hAnsi="TimesNewRoman" w:cs="Courier New"/>
          <w:color w:val="2F5496" w:themeColor="accent5" w:themeShade="BF"/>
          <w:highlight w:val="yellow"/>
        </w:rPr>
        <w:t>amount of capitalized</w:t>
      </w:r>
      <w:r w:rsidRPr="004B54E2">
        <w:rPr>
          <w:rFonts w:ascii="TimesNewRoman" w:hAnsi="TimesNewRoman" w:cs="Courier New"/>
          <w:color w:val="2F5496" w:themeColor="accent5" w:themeShade="BF"/>
        </w:rPr>
        <w:t xml:space="preserve"> </w:t>
      </w:r>
      <w:r w:rsidRPr="004B54E2">
        <w:rPr>
          <w:rFonts w:ascii="TimesNewRoman" w:hAnsi="TimesNewRoman" w:cs="Courier New"/>
        </w:rPr>
        <w:t xml:space="preserve">cost of </w:t>
      </w:r>
      <w:r w:rsidRPr="004B54E2">
        <w:rPr>
          <w:rFonts w:ascii="TimesNewRoman" w:hAnsi="TimesNewRoman" w:cs="Courier New"/>
          <w:color w:val="2F5496" w:themeColor="accent5" w:themeShade="BF"/>
          <w:highlight w:val="yellow"/>
        </w:rPr>
        <w:t>additions, alterations, or other</w:t>
      </w:r>
      <w:r w:rsidRPr="004B54E2">
        <w:rPr>
          <w:rFonts w:ascii="TimesNewRoman" w:hAnsi="TimesNewRoman" w:cs="Courier New"/>
        </w:rPr>
        <w:t xml:space="preserve"> improvements </w:t>
      </w:r>
      <w:r w:rsidRPr="004B54E2">
        <w:rPr>
          <w:rFonts w:ascii="TimesNewRoman" w:hAnsi="TimesNewRoman" w:cs="Courier New"/>
          <w:color w:val="2F5496" w:themeColor="accent5" w:themeShade="BF"/>
          <w:highlight w:val="yellow"/>
        </w:rPr>
        <w:t>that either extend the useful life or enlarge/improve the capacity of underlying PP&amp;E</w:t>
      </w:r>
      <w:r w:rsidRPr="004B54E2">
        <w:rPr>
          <w:rFonts w:ascii="TimesNewRoman" w:hAnsi="TimesNewRoman" w:cs="Courier New"/>
        </w:rPr>
        <w:t xml:space="preserve"> leased </w:t>
      </w:r>
      <w:r w:rsidRPr="004B54E2">
        <w:rPr>
          <w:rFonts w:ascii="TimesNewRoman" w:hAnsi="TimesNewRoman" w:cs="Courier New"/>
          <w:strike/>
          <w:color w:val="FF0000"/>
          <w:highlight w:val="yellow"/>
        </w:rPr>
        <w:t>land, buildings, structures, and facilities occupied</w:t>
      </w:r>
      <w:r w:rsidRPr="004B54E2">
        <w:rPr>
          <w:rFonts w:ascii="TimesNewRoman" w:hAnsi="TimesNewRoman" w:cs="Courier New"/>
        </w:rPr>
        <w:t xml:space="preserve"> by the </w:t>
      </w:r>
      <w:r w:rsidRPr="004B54E2">
        <w:rPr>
          <w:rFonts w:ascii="TimesNewRoman" w:hAnsi="TimesNewRoman" w:cs="Courier New"/>
          <w:strike/>
          <w:color w:val="FF0000"/>
          <w:highlight w:val="yellow"/>
        </w:rPr>
        <w:t>U.S. Federal Government</w:t>
      </w:r>
      <w:r w:rsidRPr="004B54E2">
        <w:rPr>
          <w:rFonts w:ascii="TimesNewRoman" w:hAnsi="TimesNewRoman" w:cs="Courier New"/>
        </w:rPr>
        <w:t xml:space="preserve"> </w:t>
      </w:r>
      <w:r w:rsidRPr="004B54E2">
        <w:rPr>
          <w:rFonts w:ascii="TimesNewRoman" w:hAnsi="TimesNewRoman" w:cs="Courier New"/>
          <w:color w:val="2F5496" w:themeColor="accent5" w:themeShade="BF"/>
          <w:highlight w:val="yellow"/>
        </w:rPr>
        <w:t>a federal entity acting</w:t>
      </w:r>
      <w:r w:rsidRPr="004B54E2">
        <w:rPr>
          <w:rFonts w:ascii="TimesNewRoman" w:hAnsi="TimesNewRoman" w:cs="Courier New"/>
        </w:rPr>
        <w:t xml:space="preserve"> as a lessee </w:t>
      </w:r>
      <w:r w:rsidRPr="004B54E2">
        <w:rPr>
          <w:rFonts w:ascii="TimesNewRoman" w:hAnsi="TimesNewRoman" w:cs="Courier New"/>
          <w:strike/>
          <w:color w:val="FF0000"/>
          <w:highlight w:val="yellow"/>
        </w:rPr>
        <w:t>as well as easements and right-of-way</w:t>
      </w:r>
      <w:r w:rsidRPr="004B54E2">
        <w:rPr>
          <w:rFonts w:ascii="TimesNewRoman" w:hAnsi="TimesNewRoman" w:cs="Courier New"/>
        </w:rPr>
        <w:t xml:space="preserve">. </w:t>
      </w:r>
      <w:r w:rsidRPr="004B54E2">
        <w:rPr>
          <w:rFonts w:ascii="TimesNewRoman" w:hAnsi="TimesNewRoman" w:cs="Courier New"/>
          <w:color w:val="2F5496" w:themeColor="accent5" w:themeShade="BF"/>
          <w:highlight w:val="yellow"/>
        </w:rPr>
        <w:t>See also SFFAS 60, Par. 35.</w:t>
      </w:r>
      <w:r w:rsidRPr="004B54E2">
        <w:rPr>
          <w:rFonts w:ascii="TimesNewRoman" w:hAnsi="TimesNewRoman" w:cs="Courier New"/>
        </w:rPr>
        <w:t xml:space="preserve"> This account does not close at year-end.</w:t>
      </w:r>
    </w:p>
    <w:p w14:paraId="18B47F4D" w14:textId="537A5346" w:rsidR="00451556" w:rsidRPr="004B54E2" w:rsidRDefault="00451556" w:rsidP="00451556">
      <w:pPr>
        <w:autoSpaceDE w:val="0"/>
        <w:autoSpaceDN w:val="0"/>
        <w:adjustRightInd w:val="0"/>
        <w:spacing w:after="240"/>
        <w:rPr>
          <w:rFonts w:ascii="TimesNewRoman" w:hAnsi="TimesNewRoman" w:cs="Courier New"/>
        </w:rPr>
      </w:pPr>
      <w:r w:rsidRPr="004B54E2">
        <w:rPr>
          <w:rFonts w:ascii="TimesNewRoman" w:hAnsi="TimesNewRoman" w:cs="Courier New"/>
          <w:b/>
          <w:bCs/>
        </w:rPr>
        <w:t>Justification:</w:t>
      </w:r>
      <w:r w:rsidRPr="004B54E2">
        <w:rPr>
          <w:rFonts w:ascii="TimesNewRoman" w:hAnsi="TimesNewRoman" w:cs="Courier New"/>
        </w:rPr>
        <w:t xml:space="preserve"> Ensures consistency with SFFAS 54, Par. 11 and reduces confusion around accounting for Leasehold Improvements.</w:t>
      </w:r>
    </w:p>
    <w:p w14:paraId="71389A2B" w14:textId="77777777" w:rsidR="0000315E" w:rsidRDefault="0000315E" w:rsidP="003A59E0">
      <w:pPr>
        <w:autoSpaceDE w:val="0"/>
        <w:autoSpaceDN w:val="0"/>
        <w:adjustRightInd w:val="0"/>
        <w:rPr>
          <w:color w:val="000000"/>
          <w:sz w:val="23"/>
          <w:szCs w:val="23"/>
        </w:rPr>
      </w:pPr>
    </w:p>
    <w:p w14:paraId="3D5C10D7" w14:textId="296A61D9" w:rsidR="003A59E0" w:rsidRPr="0057299A" w:rsidRDefault="003A59E0" w:rsidP="003A59E0">
      <w:pPr>
        <w:autoSpaceDE w:val="0"/>
        <w:autoSpaceDN w:val="0"/>
        <w:adjustRightInd w:val="0"/>
        <w:rPr>
          <w:color w:val="000000"/>
        </w:rPr>
      </w:pPr>
      <w:r w:rsidRPr="0057299A">
        <w:rPr>
          <w:b/>
          <w:bCs/>
          <w:color w:val="000000"/>
        </w:rPr>
        <w:t>Account Title:</w:t>
      </w:r>
      <w:r w:rsidRPr="0057299A">
        <w:rPr>
          <w:color w:val="000000"/>
        </w:rPr>
        <w:t xml:space="preserve"> </w:t>
      </w:r>
      <w:r w:rsidR="00A823C2" w:rsidRPr="0057299A">
        <w:rPr>
          <w:color w:val="000000"/>
        </w:rPr>
        <w:t xml:space="preserve">       </w:t>
      </w:r>
      <w:r w:rsidRPr="0057299A">
        <w:rPr>
          <w:color w:val="000000"/>
        </w:rPr>
        <w:t xml:space="preserve">Lessor Lease Receivable </w:t>
      </w:r>
    </w:p>
    <w:p w14:paraId="0FFECEC4" w14:textId="3AF31DA9" w:rsidR="003A59E0" w:rsidRPr="0057299A" w:rsidRDefault="003A59E0" w:rsidP="003A59E0">
      <w:pPr>
        <w:autoSpaceDE w:val="0"/>
        <w:autoSpaceDN w:val="0"/>
        <w:adjustRightInd w:val="0"/>
        <w:rPr>
          <w:color w:val="000000"/>
        </w:rPr>
      </w:pPr>
      <w:r w:rsidRPr="0057299A">
        <w:rPr>
          <w:b/>
          <w:bCs/>
          <w:color w:val="000000"/>
        </w:rPr>
        <w:t>Account Number:</w:t>
      </w:r>
      <w:r w:rsidRPr="0057299A">
        <w:rPr>
          <w:color w:val="000000"/>
        </w:rPr>
        <w:t xml:space="preserve"> 193000 </w:t>
      </w:r>
    </w:p>
    <w:p w14:paraId="3D4EF3B2" w14:textId="07DF10A6" w:rsidR="003A59E0" w:rsidRPr="0057299A" w:rsidRDefault="003A59E0" w:rsidP="003A59E0">
      <w:pPr>
        <w:autoSpaceDE w:val="0"/>
        <w:autoSpaceDN w:val="0"/>
        <w:adjustRightInd w:val="0"/>
        <w:rPr>
          <w:color w:val="000000"/>
        </w:rPr>
      </w:pPr>
      <w:r w:rsidRPr="0057299A">
        <w:rPr>
          <w:b/>
          <w:bCs/>
          <w:color w:val="000000"/>
        </w:rPr>
        <w:t>Normal Balance:</w:t>
      </w:r>
      <w:r w:rsidRPr="0057299A">
        <w:rPr>
          <w:color w:val="000000"/>
        </w:rPr>
        <w:t xml:space="preserve"> </w:t>
      </w:r>
      <w:r w:rsidR="00A823C2" w:rsidRPr="0057299A">
        <w:rPr>
          <w:color w:val="000000"/>
        </w:rPr>
        <w:t xml:space="preserve">  </w:t>
      </w:r>
      <w:r w:rsidRPr="0057299A">
        <w:rPr>
          <w:color w:val="000000"/>
        </w:rPr>
        <w:t xml:space="preserve">Debit </w:t>
      </w:r>
    </w:p>
    <w:p w14:paraId="0CD2816C" w14:textId="138E6BBA" w:rsidR="003A59E0" w:rsidRPr="004B54E2" w:rsidRDefault="003A59E0" w:rsidP="003A59E0">
      <w:pPr>
        <w:autoSpaceDE w:val="0"/>
        <w:autoSpaceDN w:val="0"/>
        <w:adjustRightInd w:val="0"/>
        <w:spacing w:after="240"/>
        <w:rPr>
          <w:color w:val="000000"/>
        </w:rPr>
      </w:pPr>
      <w:r w:rsidRPr="00A823C2">
        <w:rPr>
          <w:b/>
          <w:bCs/>
          <w:color w:val="000000"/>
          <w:sz w:val="23"/>
          <w:szCs w:val="23"/>
        </w:rPr>
        <w:t>Definition:</w:t>
      </w:r>
      <w:r w:rsidRPr="003A59E0">
        <w:rPr>
          <w:color w:val="000000"/>
          <w:sz w:val="23"/>
          <w:szCs w:val="23"/>
        </w:rPr>
        <w:t xml:space="preserve"> </w:t>
      </w:r>
      <w:r w:rsidRPr="004B54E2">
        <w:rPr>
          <w:color w:val="000000"/>
        </w:rPr>
        <w:t xml:space="preserve">This account is used to record the present value of lease payments </w:t>
      </w:r>
      <w:r w:rsidRPr="004B54E2">
        <w:rPr>
          <w:rFonts w:ascii="TimesNewRoman" w:hAnsi="TimesNewRoman" w:cs="Courier New"/>
          <w:strike/>
          <w:color w:val="FF0000"/>
          <w:highlight w:val="yellow"/>
        </w:rPr>
        <w:t>required from a lessor</w:t>
      </w:r>
      <w:r w:rsidRPr="004B54E2">
        <w:rPr>
          <w:color w:val="000000"/>
        </w:rPr>
        <w:t xml:space="preserve"> </w:t>
      </w:r>
      <w:r w:rsidRPr="004B54E2">
        <w:rPr>
          <w:rFonts w:ascii="TimesNewRoman" w:hAnsi="TimesNewRoman" w:cs="Courier New"/>
          <w:color w:val="2F5496" w:themeColor="accent5" w:themeShade="BF"/>
          <w:highlight w:val="yellow"/>
        </w:rPr>
        <w:t>to be received</w:t>
      </w:r>
      <w:r w:rsidRPr="004B54E2">
        <w:rPr>
          <w:color w:val="000000"/>
        </w:rPr>
        <w:t xml:space="preserve"> for the lease term in leases other than short-term, intragovernmental, and lease contracts that transfer ownership. For certain payments not included in the measurement of the Lessor Lease Receivable, see SFFAS 54, Pars. 57-58. This account does not close at year-end.</w:t>
      </w:r>
    </w:p>
    <w:p w14:paraId="00D61248" w14:textId="02BBC4CF" w:rsidR="00451556" w:rsidRPr="004B54E2" w:rsidRDefault="003A59E0" w:rsidP="003A59E0">
      <w:pPr>
        <w:autoSpaceDE w:val="0"/>
        <w:autoSpaceDN w:val="0"/>
        <w:adjustRightInd w:val="0"/>
        <w:spacing w:after="240"/>
        <w:rPr>
          <w:color w:val="000000"/>
        </w:rPr>
      </w:pPr>
      <w:r w:rsidRPr="004B54E2">
        <w:rPr>
          <w:b/>
          <w:bCs/>
          <w:color w:val="000000"/>
        </w:rPr>
        <w:t>Justification:</w:t>
      </w:r>
      <w:r w:rsidRPr="004B54E2">
        <w:rPr>
          <w:color w:val="000000"/>
        </w:rPr>
        <w:t xml:space="preserve"> Reduces confusion and ensures consistency with SFFAS 54, Par. 56.</w:t>
      </w:r>
    </w:p>
    <w:p w14:paraId="6A087D41" w14:textId="77777777" w:rsidR="0000315E" w:rsidRDefault="0000315E" w:rsidP="00593D51">
      <w:pPr>
        <w:autoSpaceDE w:val="0"/>
        <w:autoSpaceDN w:val="0"/>
        <w:adjustRightInd w:val="0"/>
        <w:rPr>
          <w:color w:val="000000"/>
          <w:sz w:val="23"/>
          <w:szCs w:val="23"/>
        </w:rPr>
      </w:pPr>
    </w:p>
    <w:p w14:paraId="14051B2C" w14:textId="237F69BF" w:rsidR="00593D51" w:rsidRPr="0000315E" w:rsidRDefault="00593D51" w:rsidP="00593D51">
      <w:pPr>
        <w:autoSpaceDE w:val="0"/>
        <w:autoSpaceDN w:val="0"/>
        <w:adjustRightInd w:val="0"/>
        <w:rPr>
          <w:color w:val="000000"/>
        </w:rPr>
      </w:pPr>
      <w:r w:rsidRPr="0000315E">
        <w:rPr>
          <w:b/>
          <w:bCs/>
          <w:color w:val="000000"/>
        </w:rPr>
        <w:t>Account Title:</w:t>
      </w:r>
      <w:r w:rsidRPr="0000315E">
        <w:rPr>
          <w:color w:val="000000"/>
        </w:rPr>
        <w:t xml:space="preserve">        Lessee Right-To-Use Lease Asset</w:t>
      </w:r>
    </w:p>
    <w:p w14:paraId="22F02687" w14:textId="77777777" w:rsidR="00593D51" w:rsidRPr="0000315E" w:rsidRDefault="00593D51" w:rsidP="00593D51">
      <w:pPr>
        <w:autoSpaceDE w:val="0"/>
        <w:autoSpaceDN w:val="0"/>
        <w:adjustRightInd w:val="0"/>
        <w:rPr>
          <w:color w:val="000000"/>
        </w:rPr>
      </w:pPr>
      <w:r w:rsidRPr="0000315E">
        <w:rPr>
          <w:b/>
          <w:bCs/>
          <w:color w:val="000000"/>
        </w:rPr>
        <w:t>Account Number:</w:t>
      </w:r>
      <w:r w:rsidRPr="0000315E">
        <w:rPr>
          <w:color w:val="000000"/>
        </w:rPr>
        <w:t xml:space="preserve"> 195000</w:t>
      </w:r>
    </w:p>
    <w:p w14:paraId="7202BDB7" w14:textId="1BB0DACF" w:rsidR="00593D51" w:rsidRPr="0000315E" w:rsidRDefault="00593D51" w:rsidP="00593D51">
      <w:pPr>
        <w:autoSpaceDE w:val="0"/>
        <w:autoSpaceDN w:val="0"/>
        <w:adjustRightInd w:val="0"/>
        <w:rPr>
          <w:color w:val="000000"/>
        </w:rPr>
      </w:pPr>
      <w:r w:rsidRPr="0000315E">
        <w:rPr>
          <w:b/>
          <w:bCs/>
          <w:color w:val="000000"/>
        </w:rPr>
        <w:t>Normal Balance:</w:t>
      </w:r>
      <w:r w:rsidRPr="0000315E">
        <w:rPr>
          <w:color w:val="000000"/>
        </w:rPr>
        <w:t xml:space="preserve">   Debit </w:t>
      </w:r>
    </w:p>
    <w:p w14:paraId="03CA60B4" w14:textId="5A6EAC0C" w:rsidR="00593D51" w:rsidRPr="004733EE" w:rsidRDefault="00593D51" w:rsidP="00593D51">
      <w:pPr>
        <w:autoSpaceDE w:val="0"/>
        <w:autoSpaceDN w:val="0"/>
        <w:adjustRightInd w:val="0"/>
        <w:spacing w:after="240"/>
        <w:rPr>
          <w:color w:val="000000"/>
        </w:rPr>
      </w:pPr>
      <w:r w:rsidRPr="004733EE">
        <w:rPr>
          <w:b/>
          <w:bCs/>
          <w:color w:val="000000"/>
        </w:rPr>
        <w:t>Definition:</w:t>
      </w:r>
      <w:r w:rsidRPr="004733EE">
        <w:rPr>
          <w:color w:val="000000"/>
        </w:rPr>
        <w:t xml:space="preserve"> This account is used to record the lessee's right to control the use of an underlying asset during the lease term in leases other than short-term, intragovernmental, and lease contracts that transfer ownership. It is measured at the start of the lease term by adding the amount of the initial lease liability, any lease payments made to the lessor at or before the start of the lease term (less </w:t>
      </w:r>
      <w:r w:rsidRPr="004733EE">
        <w:rPr>
          <w:color w:val="000000"/>
        </w:rPr>
        <w:lastRenderedPageBreak/>
        <w:t xml:space="preserve">lease incentives,) and any </w:t>
      </w:r>
      <w:r w:rsidRPr="001C21BF">
        <w:rPr>
          <w:rFonts w:ascii="TimesNewRoman" w:hAnsi="TimesNewRoman" w:cs="Courier New"/>
          <w:color w:val="2F5496" w:themeColor="accent5" w:themeShade="BF"/>
          <w:highlight w:val="yellow"/>
        </w:rPr>
        <w:t>initial direct</w:t>
      </w:r>
      <w:r w:rsidRPr="004733EE">
        <w:rPr>
          <w:color w:val="000000"/>
        </w:rPr>
        <w:t xml:space="preserve"> </w:t>
      </w:r>
      <w:r w:rsidRPr="001C21BF">
        <w:rPr>
          <w:rFonts w:ascii="TimesNewRoman" w:hAnsi="TimesNewRoman" w:cs="Courier New"/>
          <w:strike/>
          <w:color w:val="FF0000"/>
          <w:highlight w:val="yellow"/>
        </w:rPr>
        <w:t>indirect</w:t>
      </w:r>
      <w:r w:rsidRPr="004733EE">
        <w:rPr>
          <w:color w:val="000000"/>
        </w:rPr>
        <w:t xml:space="preserve"> lease costs necessary to place the lease asset into service. This account does not close at year-end.</w:t>
      </w:r>
    </w:p>
    <w:p w14:paraId="55281AF5" w14:textId="05EC9543" w:rsidR="00593D51" w:rsidRPr="004733EE" w:rsidRDefault="00593D51" w:rsidP="00593D51">
      <w:pPr>
        <w:autoSpaceDE w:val="0"/>
        <w:autoSpaceDN w:val="0"/>
        <w:adjustRightInd w:val="0"/>
        <w:spacing w:after="240"/>
        <w:rPr>
          <w:color w:val="000000"/>
        </w:rPr>
      </w:pPr>
      <w:r w:rsidRPr="004733EE">
        <w:rPr>
          <w:b/>
          <w:bCs/>
          <w:color w:val="000000"/>
        </w:rPr>
        <w:t>Justification:</w:t>
      </w:r>
      <w:r w:rsidRPr="004733EE">
        <w:rPr>
          <w:color w:val="000000"/>
        </w:rPr>
        <w:t xml:space="preserve"> Ensures consistency with SFFAS 54, Pars. 13 &amp; 49c and reduces confusion around the nature of initial direct lease costs.</w:t>
      </w:r>
    </w:p>
    <w:p w14:paraId="31CF474E" w14:textId="77777777" w:rsidR="008F2F37" w:rsidRPr="008F2F37" w:rsidRDefault="008F2F37" w:rsidP="008F2F37">
      <w:pPr>
        <w:autoSpaceDE w:val="0"/>
        <w:autoSpaceDN w:val="0"/>
        <w:adjustRightInd w:val="0"/>
        <w:rPr>
          <w:color w:val="000000"/>
        </w:rPr>
      </w:pPr>
    </w:p>
    <w:p w14:paraId="54BF4860" w14:textId="6887ECA4" w:rsidR="00AA6900" w:rsidRPr="000F5782" w:rsidRDefault="008F2F37" w:rsidP="008F2F37">
      <w:pPr>
        <w:autoSpaceDE w:val="0"/>
        <w:autoSpaceDN w:val="0"/>
        <w:adjustRightInd w:val="0"/>
        <w:spacing w:after="240"/>
        <w:rPr>
          <w:b/>
          <w:bCs/>
          <w:u w:val="single"/>
        </w:rPr>
      </w:pPr>
      <w:bookmarkStart w:id="0" w:name="_Hlk36114968"/>
      <w:r w:rsidRPr="000F5782">
        <w:rPr>
          <w:b/>
          <w:bCs/>
          <w:u w:val="single"/>
        </w:rPr>
        <w:t>PROPOSED DELETION OF CURRENT USSGL ACCOUNTS</w:t>
      </w:r>
      <w:r w:rsidR="009308E9" w:rsidRPr="000F5782">
        <w:rPr>
          <w:b/>
          <w:bCs/>
          <w:u w:val="single"/>
        </w:rPr>
        <w:t xml:space="preserve"> FOR FISCAL</w:t>
      </w:r>
      <w:r w:rsidRPr="000F5782">
        <w:rPr>
          <w:b/>
          <w:bCs/>
          <w:u w:val="single"/>
        </w:rPr>
        <w:t xml:space="preserve"> 202</w:t>
      </w:r>
      <w:r w:rsidR="00FD7EED">
        <w:rPr>
          <w:b/>
          <w:bCs/>
          <w:u w:val="single"/>
        </w:rPr>
        <w:t>4</w:t>
      </w:r>
    </w:p>
    <w:p w14:paraId="79AB2E1C" w14:textId="5B05BAA5" w:rsidR="009308E9" w:rsidRDefault="009308E9" w:rsidP="008F2F37">
      <w:pPr>
        <w:autoSpaceDE w:val="0"/>
        <w:autoSpaceDN w:val="0"/>
        <w:adjustRightInd w:val="0"/>
        <w:spacing w:after="240"/>
        <w:rPr>
          <w:color w:val="000000"/>
          <w:sz w:val="23"/>
          <w:szCs w:val="23"/>
        </w:rPr>
      </w:pPr>
    </w:p>
    <w:p w14:paraId="05D63957" w14:textId="0672F890" w:rsidR="009308E9" w:rsidRDefault="009308E9" w:rsidP="008F2F37">
      <w:pPr>
        <w:autoSpaceDE w:val="0"/>
        <w:autoSpaceDN w:val="0"/>
        <w:adjustRightInd w:val="0"/>
        <w:spacing w:after="240"/>
        <w:rPr>
          <w:b/>
          <w:bCs/>
          <w:u w:val="single"/>
        </w:rPr>
      </w:pPr>
      <w:r>
        <w:rPr>
          <w:b/>
          <w:bCs/>
          <w:u w:val="single"/>
        </w:rPr>
        <w:t>PROPOSED NEW USSGL ACCOUNTS FOR FISCAL 202</w:t>
      </w:r>
      <w:r w:rsidR="00FD7EED">
        <w:rPr>
          <w:b/>
          <w:bCs/>
          <w:u w:val="single"/>
        </w:rPr>
        <w:t>5</w:t>
      </w:r>
    </w:p>
    <w:p w14:paraId="583D1C34" w14:textId="77777777" w:rsidR="000431F4" w:rsidRDefault="000431F4" w:rsidP="009308E9">
      <w:pPr>
        <w:autoSpaceDE w:val="0"/>
        <w:autoSpaceDN w:val="0"/>
        <w:adjustRightInd w:val="0"/>
        <w:spacing w:after="240"/>
      </w:pPr>
    </w:p>
    <w:p w14:paraId="1D3A90A6" w14:textId="54563798" w:rsidR="001529B5" w:rsidRDefault="001529B5" w:rsidP="001529B5">
      <w:pPr>
        <w:autoSpaceDE w:val="0"/>
        <w:autoSpaceDN w:val="0"/>
        <w:adjustRightInd w:val="0"/>
        <w:spacing w:after="240"/>
        <w:rPr>
          <w:b/>
          <w:bCs/>
          <w:u w:val="single"/>
        </w:rPr>
      </w:pPr>
      <w:r w:rsidRPr="00C831EF">
        <w:rPr>
          <w:b/>
          <w:bCs/>
          <w:u w:val="single"/>
        </w:rPr>
        <w:t>PROPOSED CHANGES TO USSGL ACCOUNTS FOR FISCAL 202</w:t>
      </w:r>
      <w:r w:rsidR="00FD7EED">
        <w:rPr>
          <w:b/>
          <w:bCs/>
          <w:u w:val="single"/>
        </w:rPr>
        <w:t>5</w:t>
      </w:r>
    </w:p>
    <w:p w14:paraId="0A9F9F0F" w14:textId="28A5B7F3" w:rsidR="00FD7EED" w:rsidRDefault="00FD7EED" w:rsidP="001529B5">
      <w:pPr>
        <w:autoSpaceDE w:val="0"/>
        <w:autoSpaceDN w:val="0"/>
        <w:adjustRightInd w:val="0"/>
        <w:spacing w:after="240"/>
        <w:rPr>
          <w:b/>
          <w:bCs/>
          <w:u w:val="single"/>
        </w:rPr>
      </w:pPr>
    </w:p>
    <w:p w14:paraId="15808802" w14:textId="1AE6E727" w:rsidR="00FD7EED" w:rsidRPr="000F5782" w:rsidRDefault="00FD7EED" w:rsidP="00FD7EED">
      <w:pPr>
        <w:autoSpaceDE w:val="0"/>
        <w:autoSpaceDN w:val="0"/>
        <w:adjustRightInd w:val="0"/>
        <w:spacing w:after="240"/>
        <w:rPr>
          <w:b/>
          <w:bCs/>
          <w:u w:val="single"/>
        </w:rPr>
      </w:pPr>
      <w:r w:rsidRPr="000F5782">
        <w:rPr>
          <w:b/>
          <w:bCs/>
          <w:u w:val="single"/>
        </w:rPr>
        <w:t>PROPOSED DELETION OF CURRENT USSGL ACCOUNTS FOR FISCAL 202</w:t>
      </w:r>
      <w:r>
        <w:rPr>
          <w:b/>
          <w:bCs/>
          <w:u w:val="single"/>
        </w:rPr>
        <w:t>5</w:t>
      </w:r>
    </w:p>
    <w:p w14:paraId="788EB346" w14:textId="77777777" w:rsidR="00FD7EED" w:rsidRDefault="00FD7EED" w:rsidP="001529B5">
      <w:pPr>
        <w:autoSpaceDE w:val="0"/>
        <w:autoSpaceDN w:val="0"/>
        <w:adjustRightInd w:val="0"/>
        <w:spacing w:after="240"/>
        <w:rPr>
          <w:b/>
          <w:bCs/>
          <w:u w:val="single"/>
        </w:rPr>
      </w:pPr>
    </w:p>
    <w:p w14:paraId="6FB770E9" w14:textId="77777777" w:rsidR="001529B5" w:rsidRPr="00206E00" w:rsidRDefault="001529B5" w:rsidP="001529B5">
      <w:pPr>
        <w:autoSpaceDE w:val="0"/>
        <w:autoSpaceDN w:val="0"/>
        <w:adjustRightInd w:val="0"/>
        <w:spacing w:after="240"/>
      </w:pPr>
    </w:p>
    <w:bookmarkEnd w:id="0"/>
    <w:p w14:paraId="2583566D" w14:textId="77777777" w:rsidR="00E9241D" w:rsidRDefault="00E9241D" w:rsidP="00CB1A23">
      <w:pPr>
        <w:autoSpaceDE w:val="0"/>
        <w:autoSpaceDN w:val="0"/>
        <w:adjustRightInd w:val="0"/>
        <w:spacing w:after="240"/>
        <w:rPr>
          <w:sz w:val="23"/>
          <w:szCs w:val="23"/>
        </w:rPr>
      </w:pPr>
    </w:p>
    <w:p w14:paraId="3A975636" w14:textId="77777777" w:rsidR="00E9241D" w:rsidRDefault="00E9241D" w:rsidP="00CB1A23">
      <w:pPr>
        <w:autoSpaceDE w:val="0"/>
        <w:autoSpaceDN w:val="0"/>
        <w:adjustRightInd w:val="0"/>
        <w:spacing w:after="240"/>
        <w:rPr>
          <w:sz w:val="23"/>
          <w:szCs w:val="23"/>
        </w:rPr>
      </w:pPr>
    </w:p>
    <w:p w14:paraId="5AD31B73" w14:textId="77777777" w:rsidR="00E9241D" w:rsidRDefault="00E9241D" w:rsidP="00CB1A23">
      <w:pPr>
        <w:autoSpaceDE w:val="0"/>
        <w:autoSpaceDN w:val="0"/>
        <w:adjustRightInd w:val="0"/>
        <w:spacing w:after="240"/>
        <w:rPr>
          <w:sz w:val="23"/>
          <w:szCs w:val="23"/>
        </w:rPr>
      </w:pPr>
    </w:p>
    <w:p w14:paraId="6FD0EFB4" w14:textId="77777777" w:rsidR="00555A75" w:rsidRDefault="00555A75" w:rsidP="00CB1A23">
      <w:pPr>
        <w:autoSpaceDE w:val="0"/>
        <w:autoSpaceDN w:val="0"/>
        <w:adjustRightInd w:val="0"/>
        <w:spacing w:after="240"/>
        <w:rPr>
          <w:sz w:val="23"/>
          <w:szCs w:val="23"/>
        </w:rPr>
      </w:pPr>
    </w:p>
    <w:p w14:paraId="3D88BFEE" w14:textId="77777777" w:rsidR="00555A75" w:rsidRDefault="00555A75" w:rsidP="00CB1A23">
      <w:pPr>
        <w:autoSpaceDE w:val="0"/>
        <w:autoSpaceDN w:val="0"/>
        <w:adjustRightInd w:val="0"/>
        <w:spacing w:after="240"/>
        <w:rPr>
          <w:sz w:val="23"/>
          <w:szCs w:val="23"/>
        </w:rPr>
      </w:pPr>
    </w:p>
    <w:p w14:paraId="2D688662" w14:textId="77777777" w:rsidR="0046707D" w:rsidRDefault="0046707D" w:rsidP="00CB1A23">
      <w:pPr>
        <w:autoSpaceDE w:val="0"/>
        <w:autoSpaceDN w:val="0"/>
        <w:adjustRightInd w:val="0"/>
        <w:spacing w:after="240"/>
        <w:rPr>
          <w:sz w:val="23"/>
          <w:szCs w:val="23"/>
        </w:rPr>
      </w:pPr>
    </w:p>
    <w:sectPr w:rsidR="0046707D"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03AD" w14:textId="77777777" w:rsidR="00121A4F" w:rsidRDefault="00121A4F">
      <w:r>
        <w:separator/>
      </w:r>
    </w:p>
  </w:endnote>
  <w:endnote w:type="continuationSeparator" w:id="0">
    <w:p w14:paraId="15D21931" w14:textId="77777777" w:rsidR="00121A4F" w:rsidRDefault="00121A4F">
      <w:r>
        <w:continuationSeparator/>
      </w:r>
    </w:p>
  </w:endnote>
  <w:endnote w:type="continuationNotice" w:id="1">
    <w:p w14:paraId="4F4F8244" w14:textId="77777777" w:rsidR="00121A4F" w:rsidRDefault="0012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0F7674CC"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344">
      <w:rPr>
        <w:rStyle w:val="PageNumber"/>
        <w:noProof/>
      </w:rPr>
      <w:t>2</w: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023513DA" w:rsidR="004A55FA" w:rsidRDefault="00F01DA0" w:rsidP="006E332C">
        <w:pPr>
          <w:pStyle w:val="Footer"/>
          <w:jc w:val="center"/>
        </w:pPr>
        <w:r>
          <w:t>Draft Voting</w:t>
        </w:r>
        <w:r w:rsidR="004A55FA">
          <w:t xml:space="preserve"> Ballot</w:t>
        </w:r>
        <w:r w:rsidR="004A55FA">
          <w:tab/>
        </w:r>
        <w:r w:rsidR="004A55FA">
          <w:rPr>
            <w:noProof/>
          </w:rPr>
          <w:tab/>
        </w:r>
        <w:r w:rsidR="00FD7EED">
          <w:t>February</w:t>
        </w:r>
        <w:r w:rsidR="00362C95">
          <w:t xml:space="preserve"> 1</w:t>
        </w:r>
        <w:r w:rsidR="00FD7EED">
          <w:t>5</w:t>
        </w:r>
        <w:r w:rsidR="00D13D37">
          <w:t>, 20</w:t>
        </w:r>
        <w:r w:rsidR="006E332C">
          <w:t>2</w:t>
        </w:r>
        <w:r w:rsidR="00FD7EED">
          <w:t>4</w:t>
        </w:r>
      </w:p>
      <w:p w14:paraId="5174D22B" w14:textId="77777777" w:rsidR="004A55FA" w:rsidRDefault="00AC1C62">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3F995EA7" w:rsidR="004A55FA" w:rsidRDefault="00F01DA0" w:rsidP="006E332C">
        <w:pPr>
          <w:pStyle w:val="Footer"/>
          <w:jc w:val="center"/>
        </w:pPr>
        <w:r>
          <w:rPr>
            <w:noProof/>
          </w:rPr>
          <w:t>Draft Voting</w:t>
        </w:r>
        <w:r w:rsidR="009B6A7F">
          <w:rPr>
            <w:noProof/>
          </w:rPr>
          <w:t xml:space="preserve"> Ballot</w:t>
        </w:r>
        <w:r w:rsidR="00BB15D4">
          <w:rPr>
            <w:noProof/>
          </w:rPr>
          <w:tab/>
        </w:r>
        <w:r w:rsidR="00BB15D4">
          <w:rPr>
            <w:noProof/>
          </w:rPr>
          <w:tab/>
        </w:r>
        <w:r w:rsidR="00615344">
          <w:rPr>
            <w:noProof/>
          </w:rPr>
          <w:t>February</w:t>
        </w:r>
        <w:r w:rsidR="00D93996">
          <w:rPr>
            <w:noProof/>
          </w:rPr>
          <w:t xml:space="preserve"> 1</w:t>
        </w:r>
        <w:r w:rsidR="00615344">
          <w:rPr>
            <w:noProof/>
          </w:rPr>
          <w:t>5</w:t>
        </w:r>
        <w:r w:rsidR="00BB15D4">
          <w:rPr>
            <w:noProof/>
          </w:rPr>
          <w:t>, 20</w:t>
        </w:r>
        <w:r w:rsidR="00914463">
          <w:rPr>
            <w:noProof/>
          </w:rPr>
          <w:t>2</w:t>
        </w:r>
        <w:r w:rsidR="00615344">
          <w:rPr>
            <w:noProof/>
          </w:rPr>
          <w:t>4</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DA85" w14:textId="77777777" w:rsidR="00121A4F" w:rsidRDefault="00121A4F">
      <w:r>
        <w:separator/>
      </w:r>
    </w:p>
  </w:footnote>
  <w:footnote w:type="continuationSeparator" w:id="0">
    <w:p w14:paraId="6AE011FF" w14:textId="77777777" w:rsidR="00121A4F" w:rsidRDefault="00121A4F">
      <w:r>
        <w:continuationSeparator/>
      </w:r>
    </w:p>
  </w:footnote>
  <w:footnote w:type="continuationNotice" w:id="1">
    <w:p w14:paraId="19C7DD91" w14:textId="77777777" w:rsidR="00121A4F" w:rsidRDefault="00121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686"/>
      <w:docPartObj>
        <w:docPartGallery w:val="Watermarks"/>
        <w:docPartUnique/>
      </w:docPartObj>
    </w:sdtPr>
    <w:sdtEndPr/>
    <w:sdtContent>
      <w:p w14:paraId="4BA4C239" w14:textId="77777777" w:rsidR="00443EE6" w:rsidRDefault="00AC1C62">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5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31F4"/>
    <w:rsid w:val="00046335"/>
    <w:rsid w:val="000470BE"/>
    <w:rsid w:val="00052EC8"/>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0615"/>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1A4F"/>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42A"/>
    <w:rsid w:val="001B7618"/>
    <w:rsid w:val="001C1392"/>
    <w:rsid w:val="001C21BF"/>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59E0"/>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0BD7"/>
    <w:rsid w:val="00411137"/>
    <w:rsid w:val="0041260C"/>
    <w:rsid w:val="00413A61"/>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1556"/>
    <w:rsid w:val="00453995"/>
    <w:rsid w:val="00454317"/>
    <w:rsid w:val="0045544F"/>
    <w:rsid w:val="004563DC"/>
    <w:rsid w:val="00457333"/>
    <w:rsid w:val="00460A86"/>
    <w:rsid w:val="0046483D"/>
    <w:rsid w:val="00465C3A"/>
    <w:rsid w:val="00465E8A"/>
    <w:rsid w:val="00466394"/>
    <w:rsid w:val="0046707D"/>
    <w:rsid w:val="004701AC"/>
    <w:rsid w:val="00470E6C"/>
    <w:rsid w:val="004733EE"/>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4E2"/>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3F0F"/>
    <w:rsid w:val="00565A25"/>
    <w:rsid w:val="00566BF9"/>
    <w:rsid w:val="005671E3"/>
    <w:rsid w:val="0056725A"/>
    <w:rsid w:val="005676B6"/>
    <w:rsid w:val="00570773"/>
    <w:rsid w:val="005710E7"/>
    <w:rsid w:val="00571517"/>
    <w:rsid w:val="0057299A"/>
    <w:rsid w:val="00574EA0"/>
    <w:rsid w:val="00577AB9"/>
    <w:rsid w:val="00581916"/>
    <w:rsid w:val="00583F74"/>
    <w:rsid w:val="00583FEC"/>
    <w:rsid w:val="00590248"/>
    <w:rsid w:val="00590E4F"/>
    <w:rsid w:val="00592826"/>
    <w:rsid w:val="00592B70"/>
    <w:rsid w:val="00593D51"/>
    <w:rsid w:val="00593DAC"/>
    <w:rsid w:val="00593DDB"/>
    <w:rsid w:val="00595704"/>
    <w:rsid w:val="00597197"/>
    <w:rsid w:val="005979E0"/>
    <w:rsid w:val="005A4106"/>
    <w:rsid w:val="005A471E"/>
    <w:rsid w:val="005A4A09"/>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66E6"/>
    <w:rsid w:val="005F77FE"/>
    <w:rsid w:val="005F7839"/>
    <w:rsid w:val="0060305D"/>
    <w:rsid w:val="006035A4"/>
    <w:rsid w:val="00603BA4"/>
    <w:rsid w:val="00606DFA"/>
    <w:rsid w:val="00607217"/>
    <w:rsid w:val="00611747"/>
    <w:rsid w:val="006117B6"/>
    <w:rsid w:val="006119C9"/>
    <w:rsid w:val="00611D92"/>
    <w:rsid w:val="006128B0"/>
    <w:rsid w:val="00615344"/>
    <w:rsid w:val="0061559D"/>
    <w:rsid w:val="006174A3"/>
    <w:rsid w:val="00620A1B"/>
    <w:rsid w:val="00622AFB"/>
    <w:rsid w:val="006268DC"/>
    <w:rsid w:val="00630120"/>
    <w:rsid w:val="006308FB"/>
    <w:rsid w:val="0063134E"/>
    <w:rsid w:val="00631571"/>
    <w:rsid w:val="00631BDF"/>
    <w:rsid w:val="0063688B"/>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130F"/>
    <w:rsid w:val="00702427"/>
    <w:rsid w:val="00704095"/>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768E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2940"/>
    <w:rsid w:val="007E3746"/>
    <w:rsid w:val="007E37FC"/>
    <w:rsid w:val="007E3E7F"/>
    <w:rsid w:val="007E3EDB"/>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04A"/>
    <w:rsid w:val="008367B0"/>
    <w:rsid w:val="0084096A"/>
    <w:rsid w:val="00840A4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4898"/>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3C2"/>
    <w:rsid w:val="00A826A4"/>
    <w:rsid w:val="00A83B04"/>
    <w:rsid w:val="00A83DB1"/>
    <w:rsid w:val="00A8493A"/>
    <w:rsid w:val="00A8635D"/>
    <w:rsid w:val="00A869B4"/>
    <w:rsid w:val="00A87495"/>
    <w:rsid w:val="00A87752"/>
    <w:rsid w:val="00A91811"/>
    <w:rsid w:val="00A91F8B"/>
    <w:rsid w:val="00A97CE1"/>
    <w:rsid w:val="00AA0AB6"/>
    <w:rsid w:val="00AA1746"/>
    <w:rsid w:val="00AA34CA"/>
    <w:rsid w:val="00AA609B"/>
    <w:rsid w:val="00AA6900"/>
    <w:rsid w:val="00AA77C0"/>
    <w:rsid w:val="00AB0047"/>
    <w:rsid w:val="00AB38BB"/>
    <w:rsid w:val="00AB4232"/>
    <w:rsid w:val="00AB7299"/>
    <w:rsid w:val="00AB7E38"/>
    <w:rsid w:val="00AC031A"/>
    <w:rsid w:val="00AC1C62"/>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073EE"/>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12CC"/>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34E0"/>
    <w:rsid w:val="00D6377B"/>
    <w:rsid w:val="00D63AC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0EFE"/>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6C33"/>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1B61"/>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D7EED"/>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Elizabeth W. Burke</cp:lastModifiedBy>
  <cp:revision>2</cp:revision>
  <cp:lastPrinted>2018-05-10T19:12:00Z</cp:lastPrinted>
  <dcterms:created xsi:type="dcterms:W3CDTF">2024-02-15T19:04:00Z</dcterms:created>
  <dcterms:modified xsi:type="dcterms:W3CDTF">2024-02-15T19:04:00Z</dcterms:modified>
</cp:coreProperties>
</file>