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47CFA" w14:textId="7D61816C" w:rsidR="00F56A9C" w:rsidRPr="00573BE0" w:rsidRDefault="005615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E0">
        <w:rPr>
          <w:rFonts w:ascii="Times New Roman" w:hAnsi="Times New Roman" w:cs="Times New Roman"/>
          <w:b/>
          <w:sz w:val="28"/>
          <w:szCs w:val="28"/>
          <w:u w:val="single"/>
        </w:rPr>
        <w:t>Balance Sheet Modifications, Effective FY 22 Reporting</w:t>
      </w:r>
    </w:p>
    <w:p w14:paraId="24C14769" w14:textId="33686752" w:rsidR="00E75E83" w:rsidRDefault="00E75E83" w:rsidP="005615ED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FASAB Authoritative (Level A GAAP) Guidance:</w:t>
      </w:r>
    </w:p>
    <w:p w14:paraId="358E7B5F" w14:textId="77777777" w:rsidR="00E75E83" w:rsidRDefault="00E75E83" w:rsidP="005615ED">
      <w:pPr>
        <w:pStyle w:val="Default"/>
        <w:rPr>
          <w:b/>
          <w:sz w:val="23"/>
          <w:szCs w:val="23"/>
        </w:rPr>
      </w:pPr>
    </w:p>
    <w:p w14:paraId="7611B105" w14:textId="14C41915" w:rsidR="0063439A" w:rsidRPr="00E75E83" w:rsidRDefault="005615ED" w:rsidP="00FB5A8F">
      <w:pPr>
        <w:pStyle w:val="Default"/>
        <w:numPr>
          <w:ilvl w:val="0"/>
          <w:numId w:val="1"/>
        </w:numPr>
        <w:ind w:left="504"/>
        <w:jc w:val="both"/>
        <w:rPr>
          <w:b/>
          <w:sz w:val="23"/>
          <w:szCs w:val="23"/>
        </w:rPr>
      </w:pPr>
      <w:r w:rsidRPr="00E75E83">
        <w:rPr>
          <w:bCs/>
          <w:sz w:val="23"/>
          <w:szCs w:val="23"/>
        </w:rPr>
        <w:t>“Accounts payable are not intended to include liabilities related to on-going continuous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expenses such as employees’ salary and benefits, which are covered by other current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liabilities. (See recommended standard for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 xml:space="preserve">Other Current Liabilities.)” </w:t>
      </w:r>
      <w:r w:rsidRPr="00E75E83">
        <w:rPr>
          <w:b/>
          <w:sz w:val="23"/>
          <w:szCs w:val="23"/>
        </w:rPr>
        <w:t>(SFFAS 1</w:t>
      </w:r>
      <w:r w:rsidR="006C451F" w:rsidRPr="00E75E83">
        <w:rPr>
          <w:b/>
          <w:sz w:val="23"/>
          <w:szCs w:val="23"/>
        </w:rPr>
        <w:t>,</w:t>
      </w:r>
      <w:r w:rsidRPr="00E75E83">
        <w:rPr>
          <w:b/>
          <w:sz w:val="23"/>
          <w:szCs w:val="23"/>
        </w:rPr>
        <w:t xml:space="preserve"> Paragraph 75)</w:t>
      </w:r>
    </w:p>
    <w:p w14:paraId="2868B370" w14:textId="53B8AA93" w:rsidR="005615ED" w:rsidRPr="00E75E83" w:rsidRDefault="005615ED" w:rsidP="00E75E83">
      <w:pPr>
        <w:pStyle w:val="Default"/>
        <w:jc w:val="both"/>
        <w:rPr>
          <w:bCs/>
          <w:sz w:val="23"/>
          <w:szCs w:val="23"/>
        </w:rPr>
      </w:pPr>
    </w:p>
    <w:p w14:paraId="6E74AFE7" w14:textId="57823DD1" w:rsidR="005615ED" w:rsidRPr="00F62049" w:rsidRDefault="006C451F" w:rsidP="00FB5A8F">
      <w:pPr>
        <w:pStyle w:val="Default"/>
        <w:numPr>
          <w:ilvl w:val="0"/>
          <w:numId w:val="1"/>
        </w:numPr>
        <w:ind w:left="504"/>
        <w:jc w:val="both"/>
        <w:rPr>
          <w:bCs/>
          <w:sz w:val="23"/>
          <w:szCs w:val="23"/>
        </w:rPr>
      </w:pPr>
      <w:r w:rsidRPr="00E75E83">
        <w:rPr>
          <w:bCs/>
          <w:sz w:val="23"/>
          <w:szCs w:val="23"/>
        </w:rPr>
        <w:t>“Typical examples of other current liabilities to be recognized are: (a) accrued employees’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wages, bonuses, and salaries for services rendered in the current fiscal year for which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paychecks will be issued in the following year; (b) accrued entitlement benefits payable,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such as Old Age Survivors Insurance (OASI) and Veterans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Compensation and Pension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benefits applicable to the current period but not yet paid, and (c) annuities for the current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fiscal year administered by trust, pension, or insurance programs for which payment would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be made in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the following fiscal year. Such liabilities may be presented on the face of the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financial reports as Other Current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>Liabilities or as one or more separate categories</w:t>
      </w:r>
      <w:r w:rsidR="00E75E83">
        <w:rPr>
          <w:bCs/>
          <w:sz w:val="23"/>
          <w:szCs w:val="23"/>
        </w:rPr>
        <w:t xml:space="preserve"> </w:t>
      </w:r>
      <w:r w:rsidRPr="00E75E83">
        <w:rPr>
          <w:bCs/>
          <w:sz w:val="23"/>
          <w:szCs w:val="23"/>
        </w:rPr>
        <w:t xml:space="preserve">depending on the materiality of the amounts.” </w:t>
      </w:r>
      <w:r w:rsidRPr="0064604B">
        <w:rPr>
          <w:b/>
          <w:sz w:val="23"/>
          <w:szCs w:val="23"/>
        </w:rPr>
        <w:t>(SFFAS 1, Paragraph 84)</w:t>
      </w:r>
    </w:p>
    <w:p w14:paraId="67AEF733" w14:textId="398559DE" w:rsidR="00F62049" w:rsidRDefault="00F62049" w:rsidP="00F62049">
      <w:pPr>
        <w:pStyle w:val="ListParagraph"/>
        <w:rPr>
          <w:bCs/>
          <w:sz w:val="23"/>
          <w:szCs w:val="23"/>
        </w:rPr>
      </w:pPr>
    </w:p>
    <w:p w14:paraId="3326DD9A" w14:textId="4BD56E2B" w:rsidR="00A078FF" w:rsidRDefault="00573BE0" w:rsidP="00F62049">
      <w:pPr>
        <w:pStyle w:val="ListParagraph"/>
        <w:rPr>
          <w:bCs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CEDF36" wp14:editId="40E30AC2">
            <wp:simplePos x="0" y="0"/>
            <wp:positionH relativeFrom="column">
              <wp:posOffset>342900</wp:posOffset>
            </wp:positionH>
            <wp:positionV relativeFrom="paragraph">
              <wp:posOffset>189865</wp:posOffset>
            </wp:positionV>
            <wp:extent cx="6019048" cy="1647619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048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A536B" w14:textId="67935E71" w:rsidR="00F62049" w:rsidRPr="00FB5A8F" w:rsidRDefault="00F62049" w:rsidP="00F62049">
      <w:pPr>
        <w:pStyle w:val="Default"/>
        <w:jc w:val="both"/>
        <w:rPr>
          <w:bCs/>
          <w:sz w:val="23"/>
          <w:szCs w:val="23"/>
        </w:rPr>
      </w:pPr>
    </w:p>
    <w:p w14:paraId="2B6B4646" w14:textId="6E3BD201" w:rsidR="005615ED" w:rsidRDefault="005615ED" w:rsidP="005615ED">
      <w:pPr>
        <w:pStyle w:val="Default"/>
        <w:rPr>
          <w:b/>
          <w:sz w:val="23"/>
          <w:szCs w:val="23"/>
        </w:rPr>
      </w:pPr>
    </w:p>
    <w:p w14:paraId="07F46B66" w14:textId="7B3A65DE" w:rsidR="00FB5A8F" w:rsidRDefault="00F724B5" w:rsidP="005615ED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62E84B" wp14:editId="041BC322">
            <wp:simplePos x="0" y="0"/>
            <wp:positionH relativeFrom="margin">
              <wp:align>right</wp:align>
            </wp:positionH>
            <wp:positionV relativeFrom="paragraph">
              <wp:posOffset>1511935</wp:posOffset>
            </wp:positionV>
            <wp:extent cx="6046365" cy="1552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63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5A8F" w:rsidSect="008C155B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5B568" w14:textId="77777777" w:rsidR="0078082A" w:rsidRDefault="0078082A" w:rsidP="0078082A">
      <w:pPr>
        <w:spacing w:after="0" w:line="240" w:lineRule="auto"/>
      </w:pPr>
      <w:r>
        <w:separator/>
      </w:r>
    </w:p>
  </w:endnote>
  <w:endnote w:type="continuationSeparator" w:id="0">
    <w:p w14:paraId="3D701458" w14:textId="77777777" w:rsidR="0078082A" w:rsidRDefault="0078082A" w:rsidP="007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02535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AE4E5" w14:textId="778F014F" w:rsidR="0078082A" w:rsidRPr="00E4330F" w:rsidRDefault="00E4330F" w:rsidP="005C3305">
            <w:pPr>
              <w:pStyle w:val="Footer"/>
              <w:ind w:firstLine="3600"/>
              <w:jc w:val="right"/>
              <w:rPr>
                <w:sz w:val="20"/>
                <w:szCs w:val="20"/>
              </w:rPr>
            </w:pPr>
            <w:r w:rsidRPr="00E4330F">
              <w:rPr>
                <w:sz w:val="20"/>
                <w:szCs w:val="20"/>
              </w:rPr>
              <w:t xml:space="preserve">Page </w:t>
            </w:r>
            <w:r w:rsidRPr="00E4330F">
              <w:rPr>
                <w:sz w:val="20"/>
                <w:szCs w:val="20"/>
              </w:rPr>
              <w:fldChar w:fldCharType="begin"/>
            </w:r>
            <w:r w:rsidRPr="00E4330F">
              <w:rPr>
                <w:sz w:val="20"/>
                <w:szCs w:val="20"/>
              </w:rPr>
              <w:instrText xml:space="preserve"> PAGE </w:instrText>
            </w:r>
            <w:r w:rsidRPr="00E4330F">
              <w:rPr>
                <w:sz w:val="20"/>
                <w:szCs w:val="20"/>
              </w:rPr>
              <w:fldChar w:fldCharType="separate"/>
            </w:r>
            <w:r w:rsidRPr="00E4330F">
              <w:rPr>
                <w:noProof/>
                <w:sz w:val="20"/>
                <w:szCs w:val="20"/>
              </w:rPr>
              <w:t>2</w:t>
            </w:r>
            <w:r w:rsidRPr="00E4330F">
              <w:rPr>
                <w:sz w:val="20"/>
                <w:szCs w:val="20"/>
              </w:rPr>
              <w:fldChar w:fldCharType="end"/>
            </w:r>
            <w:r w:rsidRPr="00E4330F">
              <w:rPr>
                <w:sz w:val="20"/>
                <w:szCs w:val="20"/>
              </w:rPr>
              <w:t xml:space="preserve"> of </w:t>
            </w:r>
            <w:r w:rsidRPr="00E4330F">
              <w:rPr>
                <w:sz w:val="20"/>
                <w:szCs w:val="20"/>
              </w:rPr>
              <w:fldChar w:fldCharType="begin"/>
            </w:r>
            <w:r w:rsidRPr="00E4330F">
              <w:rPr>
                <w:sz w:val="20"/>
                <w:szCs w:val="20"/>
              </w:rPr>
              <w:instrText xml:space="preserve"> NUMPAGES  </w:instrText>
            </w:r>
            <w:r w:rsidRPr="00E4330F">
              <w:rPr>
                <w:sz w:val="20"/>
                <w:szCs w:val="20"/>
              </w:rPr>
              <w:fldChar w:fldCharType="separate"/>
            </w:r>
            <w:r w:rsidRPr="00E4330F">
              <w:rPr>
                <w:noProof/>
                <w:sz w:val="20"/>
                <w:szCs w:val="20"/>
              </w:rPr>
              <w:t>2</w:t>
            </w:r>
            <w:r w:rsidRPr="00E4330F">
              <w:rPr>
                <w:sz w:val="20"/>
                <w:szCs w:val="20"/>
              </w:rPr>
              <w:fldChar w:fldCharType="end"/>
            </w:r>
            <w:r w:rsidRPr="00E433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E4330F">
              <w:rPr>
                <w:sz w:val="20"/>
                <w:szCs w:val="20"/>
              </w:rPr>
              <w:t xml:space="preserve">IRC Handout </w:t>
            </w:r>
            <w:r w:rsidR="00E26ACA">
              <w:rPr>
                <w:sz w:val="20"/>
                <w:szCs w:val="20"/>
              </w:rPr>
              <w:t>12</w:t>
            </w:r>
            <w:r w:rsidRPr="00E4330F">
              <w:rPr>
                <w:sz w:val="20"/>
                <w:szCs w:val="20"/>
              </w:rPr>
              <w:t>/</w:t>
            </w:r>
            <w:r w:rsidR="00E26ACA">
              <w:rPr>
                <w:sz w:val="20"/>
                <w:szCs w:val="20"/>
              </w:rPr>
              <w:t>1</w:t>
            </w:r>
            <w:r w:rsidRPr="00E4330F">
              <w:rPr>
                <w:sz w:val="20"/>
                <w:szCs w:val="20"/>
              </w:rPr>
              <w:t>/2021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79415" w14:textId="77777777" w:rsidR="0078082A" w:rsidRDefault="0078082A" w:rsidP="0078082A">
      <w:pPr>
        <w:spacing w:after="0" w:line="240" w:lineRule="auto"/>
      </w:pPr>
      <w:r>
        <w:separator/>
      </w:r>
    </w:p>
  </w:footnote>
  <w:footnote w:type="continuationSeparator" w:id="0">
    <w:p w14:paraId="67CF1D7B" w14:textId="77777777" w:rsidR="0078082A" w:rsidRDefault="0078082A" w:rsidP="0078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4592" w14:textId="6BCBB2C2" w:rsidR="00A55261" w:rsidRDefault="00A55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B4770"/>
    <w:multiLevelType w:val="hybridMultilevel"/>
    <w:tmpl w:val="C83A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9C"/>
    <w:rsid w:val="00000A34"/>
    <w:rsid w:val="0001012C"/>
    <w:rsid w:val="00012F0F"/>
    <w:rsid w:val="00050EED"/>
    <w:rsid w:val="000612BB"/>
    <w:rsid w:val="00080008"/>
    <w:rsid w:val="00096E27"/>
    <w:rsid w:val="000B1062"/>
    <w:rsid w:val="000E6404"/>
    <w:rsid w:val="001054CA"/>
    <w:rsid w:val="00115A8F"/>
    <w:rsid w:val="001C716F"/>
    <w:rsid w:val="001D5245"/>
    <w:rsid w:val="002172A2"/>
    <w:rsid w:val="00274473"/>
    <w:rsid w:val="0028490F"/>
    <w:rsid w:val="00291AC1"/>
    <w:rsid w:val="0029751F"/>
    <w:rsid w:val="00355689"/>
    <w:rsid w:val="003939FB"/>
    <w:rsid w:val="0039689F"/>
    <w:rsid w:val="003B448A"/>
    <w:rsid w:val="003E513B"/>
    <w:rsid w:val="003F2F7F"/>
    <w:rsid w:val="00453DF6"/>
    <w:rsid w:val="00462E98"/>
    <w:rsid w:val="00467DF3"/>
    <w:rsid w:val="004A78E3"/>
    <w:rsid w:val="00532BFF"/>
    <w:rsid w:val="00536A79"/>
    <w:rsid w:val="00540D73"/>
    <w:rsid w:val="005615ED"/>
    <w:rsid w:val="005635BE"/>
    <w:rsid w:val="00573BE0"/>
    <w:rsid w:val="0058522E"/>
    <w:rsid w:val="0059232A"/>
    <w:rsid w:val="005C3305"/>
    <w:rsid w:val="005F1AF8"/>
    <w:rsid w:val="0063439A"/>
    <w:rsid w:val="00634C7C"/>
    <w:rsid w:val="0064604B"/>
    <w:rsid w:val="00653DBF"/>
    <w:rsid w:val="00676EF5"/>
    <w:rsid w:val="006C09C0"/>
    <w:rsid w:val="006C4089"/>
    <w:rsid w:val="006C451F"/>
    <w:rsid w:val="006E08F1"/>
    <w:rsid w:val="006F4348"/>
    <w:rsid w:val="007073D2"/>
    <w:rsid w:val="00723F57"/>
    <w:rsid w:val="00732EB5"/>
    <w:rsid w:val="007342B1"/>
    <w:rsid w:val="00740364"/>
    <w:rsid w:val="007406FE"/>
    <w:rsid w:val="00743198"/>
    <w:rsid w:val="0078082A"/>
    <w:rsid w:val="0078497A"/>
    <w:rsid w:val="007B0B95"/>
    <w:rsid w:val="007E7BEC"/>
    <w:rsid w:val="007F1ABD"/>
    <w:rsid w:val="00805083"/>
    <w:rsid w:val="00806AE4"/>
    <w:rsid w:val="00812548"/>
    <w:rsid w:val="00895B8E"/>
    <w:rsid w:val="008C155B"/>
    <w:rsid w:val="008E6FEA"/>
    <w:rsid w:val="008F13C0"/>
    <w:rsid w:val="00921F34"/>
    <w:rsid w:val="009621E5"/>
    <w:rsid w:val="009B008F"/>
    <w:rsid w:val="009B5E03"/>
    <w:rsid w:val="009D4C4C"/>
    <w:rsid w:val="009F3FC5"/>
    <w:rsid w:val="00A078FF"/>
    <w:rsid w:val="00A55261"/>
    <w:rsid w:val="00A66E86"/>
    <w:rsid w:val="00AA67D4"/>
    <w:rsid w:val="00AC4F6D"/>
    <w:rsid w:val="00AD2A34"/>
    <w:rsid w:val="00B339C2"/>
    <w:rsid w:val="00B82EBB"/>
    <w:rsid w:val="00BE065A"/>
    <w:rsid w:val="00BF6495"/>
    <w:rsid w:val="00C114B4"/>
    <w:rsid w:val="00C123BA"/>
    <w:rsid w:val="00CA321E"/>
    <w:rsid w:val="00CB72B5"/>
    <w:rsid w:val="00CD736B"/>
    <w:rsid w:val="00D103DB"/>
    <w:rsid w:val="00D52117"/>
    <w:rsid w:val="00D65A4C"/>
    <w:rsid w:val="00D87359"/>
    <w:rsid w:val="00DA1A98"/>
    <w:rsid w:val="00DC08DF"/>
    <w:rsid w:val="00DE22F0"/>
    <w:rsid w:val="00DE5D13"/>
    <w:rsid w:val="00DF21B2"/>
    <w:rsid w:val="00E26ACA"/>
    <w:rsid w:val="00E36DAC"/>
    <w:rsid w:val="00E373C3"/>
    <w:rsid w:val="00E4330F"/>
    <w:rsid w:val="00E43F7F"/>
    <w:rsid w:val="00E61540"/>
    <w:rsid w:val="00E75E83"/>
    <w:rsid w:val="00E95100"/>
    <w:rsid w:val="00EC64B6"/>
    <w:rsid w:val="00EF1E94"/>
    <w:rsid w:val="00F40F55"/>
    <w:rsid w:val="00F56A9C"/>
    <w:rsid w:val="00F62049"/>
    <w:rsid w:val="00F724B5"/>
    <w:rsid w:val="00F96762"/>
    <w:rsid w:val="00FB5A8F"/>
    <w:rsid w:val="00FE213C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0682261"/>
  <w15:chartTrackingRefBased/>
  <w15:docId w15:val="{08604817-0A8D-41B1-B41C-F0F85F7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2A"/>
  </w:style>
  <w:style w:type="paragraph" w:styleId="Footer">
    <w:name w:val="footer"/>
    <w:basedOn w:val="Normal"/>
    <w:link w:val="Foot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2A"/>
  </w:style>
  <w:style w:type="paragraph" w:styleId="ListParagraph">
    <w:name w:val="List Paragraph"/>
    <w:basedOn w:val="Normal"/>
    <w:uiPriority w:val="34"/>
    <w:qFormat/>
    <w:rsid w:val="00F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C828-330C-47BD-B759-A300812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Brian David Casto</cp:lastModifiedBy>
  <cp:revision>11</cp:revision>
  <cp:lastPrinted>2021-06-29T18:05:00Z</cp:lastPrinted>
  <dcterms:created xsi:type="dcterms:W3CDTF">2021-11-05T12:43:00Z</dcterms:created>
  <dcterms:modified xsi:type="dcterms:W3CDTF">2021-11-12T14:26:00Z</dcterms:modified>
</cp:coreProperties>
</file>