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4B5CCE86" w:rsidR="00F52182" w:rsidRPr="00E047A3" w:rsidRDefault="00A006D2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Proposed USSGL Board Member Survey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4FDE5F9" w14:textId="3241BD2D" w:rsidR="00381CE8" w:rsidRDefault="00381CE8" w:rsidP="005570DB">
      <w:pPr>
        <w:autoSpaceDE w:val="0"/>
        <w:autoSpaceDN w:val="0"/>
        <w:adjustRightInd w:val="0"/>
        <w:spacing w:after="0" w:line="240" w:lineRule="auto"/>
      </w:pPr>
    </w:p>
    <w:p w14:paraId="67540893" w14:textId="0961FFB9" w:rsidR="00ED1CC3" w:rsidRDefault="00A006D2" w:rsidP="005570DB">
      <w:pPr>
        <w:autoSpaceDE w:val="0"/>
        <w:autoSpaceDN w:val="0"/>
        <w:adjustRightInd w:val="0"/>
        <w:spacing w:after="0" w:line="240" w:lineRule="auto"/>
      </w:pPr>
      <w:r w:rsidRPr="003A7795">
        <w:rPr>
          <w:b/>
          <w:bCs/>
          <w:u w:val="single"/>
        </w:rPr>
        <w:t>What’s your take?</w:t>
      </w:r>
      <w:r w:rsidRPr="00A006D2">
        <w:t xml:space="preserve">  - We want Governmentwide input on a variety of topics.</w:t>
      </w:r>
      <w:r w:rsidR="003A7795">
        <w:t xml:space="preserve">  Please ensure that you circulate any feedback through your USSGL Board Member.</w:t>
      </w:r>
    </w:p>
    <w:p w14:paraId="6F4692F0" w14:textId="77777777" w:rsidR="003A7795" w:rsidRDefault="003A7795" w:rsidP="005570DB">
      <w:pPr>
        <w:autoSpaceDE w:val="0"/>
        <w:autoSpaceDN w:val="0"/>
        <w:adjustRightInd w:val="0"/>
        <w:spacing w:after="0" w:line="240" w:lineRule="auto"/>
      </w:pPr>
    </w:p>
    <w:p w14:paraId="220521A7" w14:textId="070A6C62" w:rsidR="003A7795" w:rsidRDefault="00A26DD9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  <w:hyperlink r:id="rId8" w:history="1">
        <w:r w:rsidR="003A7795">
          <w:rPr>
            <w:rStyle w:val="Hyperlink"/>
          </w:rPr>
          <w:t>The U.S. Standard General Ledger - Contact Us - USSGL Board Agency Contacts (treasury.gov)</w:t>
        </w:r>
      </w:hyperlink>
    </w:p>
    <w:p w14:paraId="60A45C87" w14:textId="77777777" w:rsidR="00A006D2" w:rsidRDefault="00A006D2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40422050" w14:textId="67AF0686" w:rsidR="00A006D2" w:rsidRDefault="00A006D2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>Timeline:</w:t>
      </w:r>
    </w:p>
    <w:p w14:paraId="78C56C9E" w14:textId="77777777" w:rsidR="00A006D2" w:rsidRDefault="00A006D2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0D2835A2" w14:textId="01A865F8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April 18</w:t>
      </w:r>
      <w:r w:rsidRPr="00A006D2">
        <w:rPr>
          <w:vertAlign w:val="superscript"/>
        </w:rPr>
        <w:t>th</w:t>
      </w:r>
      <w:r w:rsidRPr="00A006D2">
        <w:t xml:space="preserve"> IRC – Present draft versions of questions</w:t>
      </w:r>
      <w:r w:rsidR="003A7795">
        <w:t>.</w:t>
      </w:r>
    </w:p>
    <w:p w14:paraId="1B1F645D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7D4FCCEC" w14:textId="1867C354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April 18</w:t>
      </w:r>
      <w:r w:rsidRPr="00A006D2">
        <w:rPr>
          <w:vertAlign w:val="superscript"/>
        </w:rPr>
        <w:t>th</w:t>
      </w:r>
      <w:r w:rsidRPr="00A006D2">
        <w:t xml:space="preserve"> through April 26</w:t>
      </w:r>
      <w:r w:rsidRPr="00A006D2">
        <w:rPr>
          <w:vertAlign w:val="superscript"/>
        </w:rPr>
        <w:t>th</w:t>
      </w:r>
      <w:r w:rsidRPr="00A006D2">
        <w:t xml:space="preserve"> – Gather feedback on additional questions.</w:t>
      </w:r>
    </w:p>
    <w:p w14:paraId="7A19CEBB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2A0B60EF" w14:textId="345C8A3A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May 1</w:t>
      </w:r>
      <w:r w:rsidRPr="00A006D2">
        <w:rPr>
          <w:vertAlign w:val="superscript"/>
        </w:rPr>
        <w:t>st</w:t>
      </w:r>
      <w:r w:rsidRPr="00A006D2">
        <w:t xml:space="preserve"> – Present the Survey at USSGL Board Meeting</w:t>
      </w:r>
      <w:r w:rsidR="003A7795">
        <w:t>.</w:t>
      </w:r>
    </w:p>
    <w:p w14:paraId="0A007087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17701A9C" w14:textId="0C00D4D0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May 1</w:t>
      </w:r>
      <w:r w:rsidRPr="00A006D2">
        <w:rPr>
          <w:vertAlign w:val="superscript"/>
        </w:rPr>
        <w:t>st</w:t>
      </w:r>
      <w:r w:rsidRPr="00A006D2">
        <w:t xml:space="preserve"> – Distribute survey monkey link to USSGL Board Members.</w:t>
      </w:r>
    </w:p>
    <w:p w14:paraId="34CC6B14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7CDE489E" w14:textId="4BC52F6F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May 15</w:t>
      </w:r>
      <w:r w:rsidRPr="00A006D2">
        <w:rPr>
          <w:vertAlign w:val="superscript"/>
        </w:rPr>
        <w:t>th</w:t>
      </w:r>
      <w:r w:rsidRPr="00A006D2">
        <w:t xml:space="preserve"> – Deadline to complete survey.</w:t>
      </w:r>
    </w:p>
    <w:p w14:paraId="7AFA8A4B" w14:textId="77777777" w:rsidR="00A006D2" w:rsidRP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0703026E" w14:textId="288D6528" w:rsidR="00A006D2" w:rsidRDefault="00A006D2" w:rsidP="005570DB">
      <w:pPr>
        <w:autoSpaceDE w:val="0"/>
        <w:autoSpaceDN w:val="0"/>
        <w:adjustRightInd w:val="0"/>
        <w:spacing w:after="0" w:line="240" w:lineRule="auto"/>
      </w:pPr>
      <w:r w:rsidRPr="00A006D2">
        <w:t>After May 15</w:t>
      </w:r>
      <w:r w:rsidRPr="00A006D2">
        <w:rPr>
          <w:vertAlign w:val="superscript"/>
        </w:rPr>
        <w:t>th</w:t>
      </w:r>
      <w:r w:rsidRPr="00A006D2">
        <w:t xml:space="preserve"> – Follow up on survey responses.</w:t>
      </w:r>
    </w:p>
    <w:p w14:paraId="3CDD7411" w14:textId="77777777" w:rsid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09B5B683" w14:textId="100E03F2" w:rsidR="00A006D2" w:rsidRPr="003A7795" w:rsidRDefault="00A006D2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3A7795">
        <w:rPr>
          <w:u w:val="single"/>
        </w:rPr>
        <w:t>Proposed Questions:</w:t>
      </w:r>
    </w:p>
    <w:p w14:paraId="72846FF4" w14:textId="77777777" w:rsidR="00A006D2" w:rsidRDefault="00A006D2" w:rsidP="005570DB">
      <w:pPr>
        <w:autoSpaceDE w:val="0"/>
        <w:autoSpaceDN w:val="0"/>
        <w:adjustRightInd w:val="0"/>
        <w:spacing w:after="0" w:line="240" w:lineRule="auto"/>
      </w:pPr>
    </w:p>
    <w:p w14:paraId="59B1D8D5" w14:textId="77777777" w:rsidR="00A006D2" w:rsidRDefault="00A006D2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Are there existing TFM Sections that you’d like to see in a different file format to facilitate agency accounting systems or other needs? (</w:t>
      </w:r>
      <w:proofErr w:type="gramStart"/>
      <w:r>
        <w:rPr>
          <w:rFonts w:eastAsia="Times New Roman"/>
        </w:rPr>
        <w:t>i.e.</w:t>
      </w:r>
      <w:proofErr w:type="gramEnd"/>
      <w:r>
        <w:rPr>
          <w:rFonts w:eastAsia="Times New Roman"/>
        </w:rPr>
        <w:t xml:space="preserve"> Excel, Access, web-based)</w:t>
      </w:r>
    </w:p>
    <w:p w14:paraId="16D83E58" w14:textId="77777777" w:rsidR="00A006D2" w:rsidRDefault="00A006D2" w:rsidP="00A006D2"/>
    <w:p w14:paraId="00DC7D14" w14:textId="77777777" w:rsidR="00A006D2" w:rsidRDefault="00A006D2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Are there current TFM Sections that your agency does not use/does not find useful?</w:t>
      </w:r>
    </w:p>
    <w:p w14:paraId="25B72A34" w14:textId="77777777" w:rsidR="00A006D2" w:rsidRDefault="00A006D2" w:rsidP="00A006D2"/>
    <w:p w14:paraId="7EDAE0BC" w14:textId="3D06EE73" w:rsidR="00A006D2" w:rsidRDefault="00A006D2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Is there USSGL, Financial Statement, or GTAS data on which your agency depends, but is not currently available in the USSGL TFM Supplement</w:t>
      </w:r>
      <w:r w:rsidR="00A26DD9">
        <w:rPr>
          <w:rFonts w:eastAsia="Times New Roman"/>
        </w:rPr>
        <w:t>, or your agency must manually adjust to fit its needs</w:t>
      </w:r>
      <w:r>
        <w:rPr>
          <w:rFonts w:eastAsia="Times New Roman"/>
        </w:rPr>
        <w:t>?</w:t>
      </w:r>
    </w:p>
    <w:p w14:paraId="2DEC7B74" w14:textId="77777777" w:rsidR="00A006D2" w:rsidRDefault="00A006D2" w:rsidP="00A006D2">
      <w:pPr>
        <w:pStyle w:val="ListParagraph"/>
      </w:pPr>
    </w:p>
    <w:p w14:paraId="6448E9A1" w14:textId="77777777" w:rsidR="00A006D2" w:rsidRDefault="00A006D2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have any concerns with the display and/or usefulness of the USSGL TFM Supplement website?</w:t>
      </w:r>
    </w:p>
    <w:p w14:paraId="3934A89E" w14:textId="77777777" w:rsidR="00A006D2" w:rsidRPr="00A006D2" w:rsidRDefault="00A006D2" w:rsidP="00A006D2">
      <w:pPr>
        <w:pStyle w:val="ListParagraph"/>
        <w:rPr>
          <w:rFonts w:eastAsia="Times New Roman"/>
        </w:rPr>
      </w:pPr>
    </w:p>
    <w:p w14:paraId="56CE08CE" w14:textId="27C5E358" w:rsidR="00A006D2" w:rsidRDefault="00654849" w:rsidP="00A006D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feel the combined file within the TFM supplement is useful?</w:t>
      </w:r>
    </w:p>
    <w:p w14:paraId="3CD70058" w14:textId="77777777" w:rsidR="00654849" w:rsidRPr="00654849" w:rsidRDefault="00654849" w:rsidP="00654849">
      <w:pPr>
        <w:pStyle w:val="ListParagraph"/>
        <w:rPr>
          <w:rFonts w:eastAsia="Times New Roman"/>
        </w:rPr>
      </w:pPr>
    </w:p>
    <w:p w14:paraId="7B67167F" w14:textId="0415B28E" w:rsidR="00654849" w:rsidRDefault="00A26DD9" w:rsidP="00654849">
      <w:pPr>
        <w:pStyle w:val="ListParagraph"/>
        <w:spacing w:after="0" w:line="240" w:lineRule="auto"/>
        <w:contextualSpacing w:val="0"/>
      </w:pPr>
      <w:hyperlink r:id="rId9" w:history="1">
        <w:r w:rsidR="00654849">
          <w:rPr>
            <w:rStyle w:val="Hyperlink"/>
          </w:rPr>
          <w:t>Part 1 Fiscal Year 2024 Reporting | TFX: Treasury Financial Experience</w:t>
        </w:r>
      </w:hyperlink>
    </w:p>
    <w:p w14:paraId="01B8EA51" w14:textId="77777777" w:rsidR="00654849" w:rsidRDefault="00654849" w:rsidP="00654849">
      <w:pPr>
        <w:pStyle w:val="ListParagraph"/>
        <w:spacing w:after="0" w:line="240" w:lineRule="auto"/>
        <w:contextualSpacing w:val="0"/>
      </w:pPr>
    </w:p>
    <w:p w14:paraId="168F173E" w14:textId="197CB9ED" w:rsidR="00654849" w:rsidRDefault="00654849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noProof/>
        </w:rPr>
        <w:lastRenderedPageBreak/>
        <w:drawing>
          <wp:inline distT="0" distB="0" distL="0" distR="0" wp14:anchorId="60F5695A" wp14:editId="67EBF9CE">
            <wp:extent cx="5943600" cy="3033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2719" w14:textId="77777777" w:rsidR="00654849" w:rsidRDefault="00654849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649711BA" w14:textId="5A13D61A" w:rsidR="00654849" w:rsidRDefault="00654849" w:rsidP="0065484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 you feel the Transactions Listing within Section III of the TFM is useful?</w:t>
      </w:r>
    </w:p>
    <w:p w14:paraId="74A2507E" w14:textId="77777777" w:rsidR="00654849" w:rsidRDefault="00654849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462FDDB6" w14:textId="6392B799" w:rsidR="00654849" w:rsidRDefault="00A26DD9" w:rsidP="00654849">
      <w:pPr>
        <w:pStyle w:val="ListParagraph"/>
        <w:spacing w:after="0" w:line="240" w:lineRule="auto"/>
        <w:contextualSpacing w:val="0"/>
      </w:pPr>
      <w:hyperlink r:id="rId11" w:anchor="Section-III" w:history="1">
        <w:r w:rsidR="00654849">
          <w:rPr>
            <w:rStyle w:val="Hyperlink"/>
          </w:rPr>
          <w:t>Part 1 Fiscal Year 2024 Reporting | TFX: Treasury Financial Experience</w:t>
        </w:r>
      </w:hyperlink>
    </w:p>
    <w:p w14:paraId="140D5416" w14:textId="77777777" w:rsidR="00654849" w:rsidRDefault="00654849" w:rsidP="00654849">
      <w:pPr>
        <w:pStyle w:val="ListParagraph"/>
        <w:spacing w:after="0" w:line="240" w:lineRule="auto"/>
        <w:contextualSpacing w:val="0"/>
      </w:pPr>
    </w:p>
    <w:p w14:paraId="1109E6DB" w14:textId="2F4FEB52" w:rsidR="00654849" w:rsidRDefault="003A7795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noProof/>
        </w:rPr>
        <w:drawing>
          <wp:inline distT="0" distB="0" distL="0" distR="0" wp14:anchorId="280385DA" wp14:editId="62C185A9">
            <wp:extent cx="5943600" cy="2333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535C" w14:textId="77777777" w:rsidR="003A7795" w:rsidRDefault="003A7795" w:rsidP="00654849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54AE32FB" w14:textId="14E4793A" w:rsidR="00A006D2" w:rsidRDefault="003A7795" w:rsidP="003A7795">
      <w:pPr>
        <w:autoSpaceDE w:val="0"/>
        <w:autoSpaceDN w:val="0"/>
        <w:adjustRightInd w:val="0"/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1C0B5008" wp14:editId="5CD3F20D">
            <wp:extent cx="6010275" cy="217233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C555B" w14:textId="77777777" w:rsidR="003A7795" w:rsidRDefault="003A7795" w:rsidP="003A7795">
      <w:pPr>
        <w:autoSpaceDE w:val="0"/>
        <w:autoSpaceDN w:val="0"/>
        <w:adjustRightInd w:val="0"/>
        <w:spacing w:after="0" w:line="240" w:lineRule="auto"/>
        <w:ind w:firstLine="720"/>
      </w:pPr>
    </w:p>
    <w:p w14:paraId="074A94A6" w14:textId="79348ABB" w:rsidR="003A7795" w:rsidRDefault="003A7795" w:rsidP="003A77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lastRenderedPageBreak/>
        <w:t xml:space="preserve">Please feel free to suggest additional questions for the survey through your USSGL Board representative and send to </w:t>
      </w:r>
      <w:hyperlink r:id="rId14" w:history="1">
        <w:r w:rsidRPr="008832C8">
          <w:rPr>
            <w:rStyle w:val="Hyperlink"/>
          </w:rPr>
          <w:t>USSGLteam@fiscal.treasury.gov</w:t>
        </w:r>
      </w:hyperlink>
      <w:r w:rsidR="003C518B">
        <w:t>.</w:t>
      </w:r>
    </w:p>
    <w:p w14:paraId="450DE7F6" w14:textId="77777777" w:rsidR="003A7795" w:rsidRPr="00A006D2" w:rsidRDefault="003A7795" w:rsidP="003A7795">
      <w:pPr>
        <w:pStyle w:val="ListParagraph"/>
        <w:autoSpaceDE w:val="0"/>
        <w:autoSpaceDN w:val="0"/>
        <w:adjustRightInd w:val="0"/>
        <w:spacing w:after="0" w:line="240" w:lineRule="auto"/>
      </w:pP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4F06EA45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9E3A07" w14:textId="5DA97372" w:rsidR="00084578" w:rsidRPr="001C051C" w:rsidRDefault="00084578" w:rsidP="001C05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84578" w:rsidRPr="001C051C" w:rsidSect="007D4D75">
      <w:headerReference w:type="default" r:id="rId15"/>
      <w:footerReference w:type="default" r:id="rId16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37FF58AF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 xml:space="preserve">IRC Handout </w:t>
            </w:r>
            <w:r w:rsidR="001C051C">
              <w:rPr>
                <w:b/>
                <w:bCs/>
              </w:rPr>
              <w:t>0</w:t>
            </w:r>
            <w:r w:rsidR="004A7C18">
              <w:rPr>
                <w:b/>
                <w:bCs/>
              </w:rPr>
              <w:t>4</w:t>
            </w:r>
            <w:r w:rsidRPr="00745D48">
              <w:rPr>
                <w:b/>
                <w:bCs/>
              </w:rPr>
              <w:t>/</w:t>
            </w:r>
            <w:r w:rsidR="001C051C">
              <w:rPr>
                <w:b/>
                <w:bCs/>
              </w:rPr>
              <w:t>1</w:t>
            </w:r>
            <w:r w:rsidR="004A7C18">
              <w:rPr>
                <w:b/>
                <w:bCs/>
              </w:rPr>
              <w:t>8</w:t>
            </w:r>
            <w:r w:rsidRPr="00745D48">
              <w:rPr>
                <w:b/>
                <w:bCs/>
              </w:rPr>
              <w:t>/202</w:t>
            </w:r>
            <w:r w:rsidR="001C051C">
              <w:rPr>
                <w:b/>
                <w:bCs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24986"/>
      <w:docPartObj>
        <w:docPartGallery w:val="Watermarks"/>
        <w:docPartUnique/>
      </w:docPartObj>
    </w:sdtPr>
    <w:sdtEndPr/>
    <w:sdtContent>
      <w:p w14:paraId="3F85525B" w14:textId="398C76B1" w:rsidR="002D2F9B" w:rsidRDefault="00A26DD9">
        <w:pPr>
          <w:pStyle w:val="Header"/>
        </w:pPr>
        <w:r>
          <w:rPr>
            <w:noProof/>
          </w:rPr>
          <w:pict w14:anchorId="767F84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E5662"/>
    <w:multiLevelType w:val="hybridMultilevel"/>
    <w:tmpl w:val="7D4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  <w:num w:numId="2" w16cid:durableId="65943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84578"/>
    <w:rsid w:val="000C0BDE"/>
    <w:rsid w:val="000C10C6"/>
    <w:rsid w:val="001C051C"/>
    <w:rsid w:val="001C3B89"/>
    <w:rsid w:val="001D2FAF"/>
    <w:rsid w:val="001F5408"/>
    <w:rsid w:val="00261747"/>
    <w:rsid w:val="002B00EE"/>
    <w:rsid w:val="002B301B"/>
    <w:rsid w:val="002D2F9B"/>
    <w:rsid w:val="00343BB0"/>
    <w:rsid w:val="00381CE8"/>
    <w:rsid w:val="00383A13"/>
    <w:rsid w:val="003A759C"/>
    <w:rsid w:val="003A7795"/>
    <w:rsid w:val="003B0929"/>
    <w:rsid w:val="003B675E"/>
    <w:rsid w:val="003B7826"/>
    <w:rsid w:val="003C518B"/>
    <w:rsid w:val="003C711F"/>
    <w:rsid w:val="003E7E5B"/>
    <w:rsid w:val="004A7C18"/>
    <w:rsid w:val="004B131E"/>
    <w:rsid w:val="00522642"/>
    <w:rsid w:val="005570DB"/>
    <w:rsid w:val="0058286E"/>
    <w:rsid w:val="0061370D"/>
    <w:rsid w:val="00654849"/>
    <w:rsid w:val="006F1984"/>
    <w:rsid w:val="006F6AB0"/>
    <w:rsid w:val="00703A4E"/>
    <w:rsid w:val="007118E1"/>
    <w:rsid w:val="00736D24"/>
    <w:rsid w:val="00745D48"/>
    <w:rsid w:val="007673FB"/>
    <w:rsid w:val="007B4D1B"/>
    <w:rsid w:val="007D4D75"/>
    <w:rsid w:val="007F337A"/>
    <w:rsid w:val="00800998"/>
    <w:rsid w:val="0081279B"/>
    <w:rsid w:val="0086261D"/>
    <w:rsid w:val="00865DC3"/>
    <w:rsid w:val="008A0952"/>
    <w:rsid w:val="008A33F8"/>
    <w:rsid w:val="00906CC5"/>
    <w:rsid w:val="009333AA"/>
    <w:rsid w:val="009A1003"/>
    <w:rsid w:val="009C7478"/>
    <w:rsid w:val="00A006D2"/>
    <w:rsid w:val="00A26DD9"/>
    <w:rsid w:val="00A43F75"/>
    <w:rsid w:val="00A8052A"/>
    <w:rsid w:val="00A87B86"/>
    <w:rsid w:val="00A90A83"/>
    <w:rsid w:val="00A958C2"/>
    <w:rsid w:val="00AA77B5"/>
    <w:rsid w:val="00AC44E3"/>
    <w:rsid w:val="00AE75F2"/>
    <w:rsid w:val="00B26355"/>
    <w:rsid w:val="00B473DD"/>
    <w:rsid w:val="00B55DE8"/>
    <w:rsid w:val="00B72D9C"/>
    <w:rsid w:val="00BA7024"/>
    <w:rsid w:val="00BB25CF"/>
    <w:rsid w:val="00BC7F64"/>
    <w:rsid w:val="00BD4184"/>
    <w:rsid w:val="00C11201"/>
    <w:rsid w:val="00C174FB"/>
    <w:rsid w:val="00C4296E"/>
    <w:rsid w:val="00C92C7F"/>
    <w:rsid w:val="00C94CC3"/>
    <w:rsid w:val="00CA340E"/>
    <w:rsid w:val="00CD29FA"/>
    <w:rsid w:val="00CE6A65"/>
    <w:rsid w:val="00D33FDC"/>
    <w:rsid w:val="00D67A15"/>
    <w:rsid w:val="00D96246"/>
    <w:rsid w:val="00DB3752"/>
    <w:rsid w:val="00DD2FB4"/>
    <w:rsid w:val="00DD6FAB"/>
    <w:rsid w:val="00DE504A"/>
    <w:rsid w:val="00E243E2"/>
    <w:rsid w:val="00E36D30"/>
    <w:rsid w:val="00E845AE"/>
    <w:rsid w:val="00E90FAD"/>
    <w:rsid w:val="00E92CA0"/>
    <w:rsid w:val="00EC2E49"/>
    <w:rsid w:val="00ED1CC3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al.treasury.gov/ussgl/contact-board-members.html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fx.treasury.gov/tfm/supplements/ussgl/ussgl-part-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fx.treasury.gov/tfm/supplements/ussgl/ussgl-part-1" TargetMode="External"/><Relationship Id="rId14" Type="http://schemas.openxmlformats.org/officeDocument/2006/relationships/hyperlink" Target="mailto:USSGLteam@fiscal.treasur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84</cp:revision>
  <dcterms:created xsi:type="dcterms:W3CDTF">2023-01-23T17:57:00Z</dcterms:created>
  <dcterms:modified xsi:type="dcterms:W3CDTF">2024-04-16T03:28:00Z</dcterms:modified>
</cp:coreProperties>
</file>