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613B" w14:textId="28722EC8" w:rsidR="00F52182" w:rsidRPr="00C70A55" w:rsidRDefault="00F52182" w:rsidP="00C70A55">
      <w:pPr>
        <w:jc w:val="center"/>
        <w:rPr>
          <w:rFonts w:cstheme="minorHAnsi"/>
          <w:b/>
          <w:bCs/>
          <w:sz w:val="28"/>
          <w:szCs w:val="28"/>
          <w:u w:val="single"/>
        </w:rPr>
      </w:pPr>
      <w:r w:rsidRPr="00C70A55">
        <w:rPr>
          <w:rFonts w:cstheme="minorHAnsi"/>
          <w:b/>
          <w:bCs/>
          <w:sz w:val="28"/>
          <w:szCs w:val="28"/>
          <w:u w:val="single"/>
        </w:rPr>
        <w:t xml:space="preserve">Proprietary Transaction Code </w:t>
      </w:r>
      <w:r w:rsidR="00BB25CF" w:rsidRPr="00C70A55">
        <w:rPr>
          <w:rFonts w:cstheme="minorHAnsi"/>
          <w:b/>
          <w:bCs/>
          <w:sz w:val="28"/>
          <w:szCs w:val="28"/>
          <w:u w:val="single"/>
        </w:rPr>
        <w:t>Updates</w:t>
      </w:r>
      <w:r w:rsidRPr="00C70A55">
        <w:rPr>
          <w:rFonts w:cstheme="minorHAnsi"/>
          <w:b/>
          <w:bCs/>
          <w:sz w:val="28"/>
          <w:szCs w:val="28"/>
          <w:u w:val="single"/>
        </w:rPr>
        <w:t xml:space="preserve"> (FY 202</w:t>
      </w:r>
      <w:r w:rsidR="000229E9">
        <w:rPr>
          <w:rFonts w:cstheme="minorHAnsi"/>
          <w:b/>
          <w:bCs/>
          <w:sz w:val="28"/>
          <w:szCs w:val="28"/>
          <w:u w:val="single"/>
        </w:rPr>
        <w:t>5</w:t>
      </w:r>
      <w:r w:rsidRPr="00C70A55">
        <w:rPr>
          <w:rFonts w:cstheme="minorHAnsi"/>
          <w:b/>
          <w:bCs/>
          <w:sz w:val="28"/>
          <w:szCs w:val="28"/>
          <w:u w:val="single"/>
        </w:rPr>
        <w:t>)</w:t>
      </w:r>
    </w:p>
    <w:p w14:paraId="0A5A9937" w14:textId="5B19CE4E" w:rsidR="00C115A6" w:rsidRDefault="00EE7B25" w:rsidP="00C115A6">
      <w:pPr>
        <w:pStyle w:val="PlainText"/>
        <w:keepNext/>
        <w:keepLines/>
        <w:tabs>
          <w:tab w:val="left" w:pos="660"/>
          <w:tab w:val="left" w:pos="1840"/>
          <w:tab w:val="left" w:pos="2940"/>
          <w:tab w:val="left" w:pos="3140"/>
        </w:tabs>
        <w:spacing w:after="120"/>
        <w:ind w:left="662" w:hanging="662"/>
        <w:jc w:val="both"/>
        <w:rPr>
          <w:rFonts w:asciiTheme="minorHAnsi" w:hAnsiTheme="minorHAnsi" w:cstheme="minorHAnsi"/>
          <w:b/>
          <w:sz w:val="22"/>
          <w:szCs w:val="22"/>
        </w:rPr>
      </w:pPr>
      <w:r>
        <w:rPr>
          <w:rFonts w:asciiTheme="minorHAnsi" w:hAnsiTheme="minorHAnsi" w:cstheme="minorHAnsi"/>
          <w:b/>
          <w:sz w:val="22"/>
          <w:szCs w:val="22"/>
        </w:rPr>
        <w:t>General Fund Receipt Accounts</w:t>
      </w:r>
    </w:p>
    <w:p w14:paraId="4B08397F" w14:textId="25A7FE03" w:rsidR="00C910AE" w:rsidRPr="00C910AE" w:rsidRDefault="00C70A55" w:rsidP="00C910AE">
      <w:pPr>
        <w:pStyle w:val="PlainText"/>
        <w:keepNext/>
        <w:keepLines/>
        <w:tabs>
          <w:tab w:val="left" w:pos="660"/>
          <w:tab w:val="left" w:pos="1840"/>
          <w:tab w:val="left" w:pos="2940"/>
          <w:tab w:val="left" w:pos="3140"/>
        </w:tabs>
        <w:ind w:left="662" w:hanging="662"/>
        <w:rPr>
          <w:rFonts w:asciiTheme="minorHAnsi" w:hAnsiTheme="minorHAnsi" w:cstheme="minorHAnsi"/>
          <w:bCs/>
          <w:sz w:val="22"/>
          <w:szCs w:val="22"/>
        </w:rPr>
      </w:pPr>
      <w:r w:rsidRPr="00C910AE">
        <w:rPr>
          <w:rFonts w:asciiTheme="minorHAnsi" w:hAnsiTheme="minorHAnsi" w:cstheme="minorHAnsi"/>
          <w:b/>
          <w:sz w:val="22"/>
          <w:szCs w:val="22"/>
        </w:rPr>
        <w:t xml:space="preserve">1) </w:t>
      </w:r>
      <w:r w:rsidR="00985AFC" w:rsidRPr="00C910AE">
        <w:rPr>
          <w:rFonts w:asciiTheme="minorHAnsi" w:hAnsiTheme="minorHAnsi" w:cstheme="minorHAnsi"/>
          <w:b/>
          <w:sz w:val="22"/>
          <w:szCs w:val="22"/>
        </w:rPr>
        <w:t>A</w:t>
      </w:r>
      <w:r w:rsidR="00371B20" w:rsidRPr="00C910AE">
        <w:rPr>
          <w:rFonts w:asciiTheme="minorHAnsi" w:hAnsiTheme="minorHAnsi" w:cstheme="minorHAnsi"/>
          <w:b/>
          <w:sz w:val="22"/>
          <w:szCs w:val="22"/>
        </w:rPr>
        <w:t>147</w:t>
      </w:r>
      <w:r w:rsidRPr="00C910AE">
        <w:rPr>
          <w:rFonts w:asciiTheme="minorHAnsi" w:hAnsiTheme="minorHAnsi" w:cstheme="minorHAnsi"/>
          <w:bCs/>
          <w:sz w:val="22"/>
          <w:szCs w:val="22"/>
        </w:rPr>
        <w:t xml:space="preserve"> </w:t>
      </w:r>
      <w:r w:rsidR="00C910AE" w:rsidRPr="00C910AE">
        <w:rPr>
          <w:rFonts w:asciiTheme="minorHAnsi" w:hAnsiTheme="minorHAnsi" w:cstheme="minorHAnsi"/>
          <w:bCs/>
          <w:sz w:val="22"/>
          <w:szCs w:val="22"/>
        </w:rPr>
        <w:t xml:space="preserve">To record in a miscellaneous General Fund </w:t>
      </w:r>
      <w:r w:rsidR="00EE7B25" w:rsidRPr="00EE7B25">
        <w:rPr>
          <w:rFonts w:asciiTheme="minorHAnsi" w:hAnsiTheme="minorHAnsi" w:cstheme="minorHAnsi"/>
          <w:bCs/>
          <w:color w:val="2E74B5" w:themeColor="accent5" w:themeShade="BF"/>
          <w:sz w:val="22"/>
          <w:szCs w:val="22"/>
        </w:rPr>
        <w:t>R</w:t>
      </w:r>
      <w:r w:rsidR="00C910AE" w:rsidRPr="00C910AE">
        <w:rPr>
          <w:rFonts w:asciiTheme="minorHAnsi" w:hAnsiTheme="minorHAnsi" w:cstheme="minorHAnsi"/>
          <w:bCs/>
          <w:sz w:val="22"/>
          <w:szCs w:val="22"/>
        </w:rPr>
        <w:t xml:space="preserve">eceipt </w:t>
      </w:r>
      <w:r w:rsidR="00EE7B25" w:rsidRPr="00EE7B25">
        <w:rPr>
          <w:rFonts w:asciiTheme="minorHAnsi" w:hAnsiTheme="minorHAnsi" w:cstheme="minorHAnsi"/>
          <w:bCs/>
          <w:color w:val="2E74B5" w:themeColor="accent5" w:themeShade="BF"/>
          <w:sz w:val="22"/>
          <w:szCs w:val="22"/>
        </w:rPr>
        <w:t>A</w:t>
      </w:r>
      <w:r w:rsidR="00C910AE" w:rsidRPr="00C910AE">
        <w:rPr>
          <w:rFonts w:asciiTheme="minorHAnsi" w:hAnsiTheme="minorHAnsi" w:cstheme="minorHAnsi"/>
          <w:bCs/>
          <w:sz w:val="22"/>
          <w:szCs w:val="22"/>
        </w:rPr>
        <w:t xml:space="preserve">ccount an amount derived from a   </w:t>
      </w:r>
    </w:p>
    <w:p w14:paraId="6B78F4AE" w14:textId="5D987709" w:rsidR="00C910AE" w:rsidRDefault="00E165C5" w:rsidP="00C910AE">
      <w:pPr>
        <w:pStyle w:val="PlainText"/>
        <w:keepNext/>
        <w:keepLines/>
        <w:tabs>
          <w:tab w:val="left" w:pos="660"/>
          <w:tab w:val="left" w:pos="1840"/>
          <w:tab w:val="left" w:pos="2940"/>
          <w:tab w:val="left" w:pos="3140"/>
        </w:tabs>
        <w:ind w:left="662" w:hanging="662"/>
        <w:rPr>
          <w:rFonts w:asciiTheme="minorHAnsi" w:hAnsiTheme="minorHAnsi" w:cstheme="minorHAnsi"/>
          <w:bCs/>
          <w:sz w:val="22"/>
          <w:szCs w:val="22"/>
        </w:rPr>
      </w:pPr>
      <w:r w:rsidRPr="00E165C5">
        <w:rPr>
          <w:rFonts w:asciiTheme="minorHAnsi" w:hAnsiTheme="minorHAnsi" w:cstheme="minorHAnsi"/>
          <w:bCs/>
          <w:color w:val="2E74B5" w:themeColor="accent5" w:themeShade="BF"/>
          <w:sz w:val="22"/>
          <w:szCs w:val="22"/>
        </w:rPr>
        <w:t>n</w:t>
      </w:r>
      <w:r w:rsidR="00C910AE" w:rsidRPr="00C910AE">
        <w:rPr>
          <w:rFonts w:asciiTheme="minorHAnsi" w:hAnsiTheme="minorHAnsi" w:cstheme="minorHAnsi"/>
          <w:bCs/>
          <w:sz w:val="22"/>
          <w:szCs w:val="22"/>
        </w:rPr>
        <w:t>on</w:t>
      </w:r>
      <w:r w:rsidRPr="00FB56BF">
        <w:rPr>
          <w:rFonts w:asciiTheme="minorHAnsi" w:hAnsiTheme="minorHAnsi" w:cstheme="minorHAnsi"/>
          <w:bCs/>
          <w:color w:val="2E74B5" w:themeColor="accent5" w:themeShade="BF"/>
          <w:sz w:val="22"/>
          <w:szCs w:val="22"/>
        </w:rPr>
        <w:t>-</w:t>
      </w:r>
      <w:r w:rsidR="00C910AE" w:rsidRPr="00C910AE">
        <w:rPr>
          <w:rFonts w:asciiTheme="minorHAnsi" w:hAnsiTheme="minorHAnsi" w:cstheme="minorHAnsi"/>
          <w:bCs/>
          <w:sz w:val="22"/>
          <w:szCs w:val="22"/>
        </w:rPr>
        <w:t>expenditure transfer that was permanently reduced in an associated Treasury Appropriations Fund</w:t>
      </w:r>
      <w:r w:rsidR="00C910AE">
        <w:rPr>
          <w:rFonts w:asciiTheme="minorHAnsi" w:hAnsiTheme="minorHAnsi" w:cstheme="minorHAnsi"/>
          <w:bCs/>
          <w:sz w:val="22"/>
          <w:szCs w:val="22"/>
        </w:rPr>
        <w:t xml:space="preserve"> </w:t>
      </w:r>
    </w:p>
    <w:p w14:paraId="17FE720B" w14:textId="2739B246" w:rsidR="00985AFC" w:rsidRDefault="00C910AE" w:rsidP="00C910AE">
      <w:pPr>
        <w:pStyle w:val="PlainText"/>
        <w:keepNext/>
        <w:keepLines/>
        <w:tabs>
          <w:tab w:val="left" w:pos="660"/>
          <w:tab w:val="left" w:pos="1840"/>
          <w:tab w:val="left" w:pos="2940"/>
          <w:tab w:val="left" w:pos="3140"/>
        </w:tabs>
        <w:ind w:left="662" w:hanging="662"/>
        <w:rPr>
          <w:rFonts w:asciiTheme="minorHAnsi" w:hAnsiTheme="minorHAnsi" w:cstheme="minorHAnsi"/>
          <w:sz w:val="22"/>
          <w:szCs w:val="22"/>
        </w:rPr>
      </w:pPr>
      <w:r w:rsidRPr="00C910AE">
        <w:rPr>
          <w:rFonts w:asciiTheme="minorHAnsi" w:hAnsiTheme="minorHAnsi" w:cstheme="minorHAnsi"/>
          <w:bCs/>
          <w:sz w:val="22"/>
          <w:szCs w:val="22"/>
        </w:rPr>
        <w:t>Symbol (TAFS).</w:t>
      </w:r>
      <w:r w:rsidR="00985AFC">
        <w:rPr>
          <w:rFonts w:asciiTheme="minorHAnsi" w:hAnsiTheme="minorHAnsi" w:cstheme="minorHAnsi"/>
          <w:sz w:val="22"/>
          <w:szCs w:val="22"/>
        </w:rPr>
        <w:br/>
      </w:r>
    </w:p>
    <w:p w14:paraId="5B62BA31" w14:textId="676C85E2" w:rsidR="00B944B5" w:rsidRPr="00E91787" w:rsidRDefault="00F51D92" w:rsidP="00B944B5">
      <w:pPr>
        <w:pStyle w:val="PlainText"/>
        <w:keepNext/>
        <w:keepLines/>
        <w:tabs>
          <w:tab w:val="left" w:pos="660"/>
          <w:tab w:val="left" w:pos="1840"/>
          <w:tab w:val="left" w:pos="2940"/>
          <w:tab w:val="left" w:pos="3140"/>
        </w:tabs>
        <w:ind w:left="660" w:hanging="660"/>
        <w:jc w:val="both"/>
        <w:rPr>
          <w:rFonts w:asciiTheme="minorHAnsi" w:hAnsiTheme="minorHAnsi" w:cstheme="minorHAnsi"/>
          <w:strike/>
          <w:color w:val="FF0000"/>
          <w:sz w:val="22"/>
          <w:szCs w:val="22"/>
        </w:rPr>
      </w:pPr>
      <w:r w:rsidRPr="00B42FC9">
        <w:rPr>
          <w:rFonts w:asciiTheme="minorHAnsi" w:hAnsiTheme="minorHAnsi" w:cstheme="minorHAnsi"/>
          <w:b/>
          <w:sz w:val="22"/>
          <w:szCs w:val="22"/>
        </w:rPr>
        <w:t>Comment:</w:t>
      </w:r>
      <w:r w:rsidR="00B42FC9" w:rsidRPr="00B42FC9">
        <w:rPr>
          <w:rFonts w:asciiTheme="minorHAnsi" w:hAnsiTheme="minorHAnsi" w:cstheme="minorHAnsi"/>
          <w:sz w:val="22"/>
          <w:szCs w:val="22"/>
        </w:rPr>
        <w:t xml:space="preserve"> </w:t>
      </w:r>
      <w:r w:rsidR="00B944B5" w:rsidRPr="00B944B5">
        <w:rPr>
          <w:rFonts w:asciiTheme="minorHAnsi" w:hAnsiTheme="minorHAnsi" w:cstheme="minorHAnsi"/>
          <w:sz w:val="22"/>
          <w:szCs w:val="22"/>
        </w:rPr>
        <w:t xml:space="preserve">Also post USSGL TC A144 in the related General Fund TAFS. To record the </w:t>
      </w:r>
      <w:r w:rsidR="00E91787" w:rsidRPr="00E91787">
        <w:rPr>
          <w:rFonts w:asciiTheme="minorHAnsi" w:hAnsiTheme="minorHAnsi" w:cstheme="minorHAnsi"/>
          <w:bCs/>
          <w:color w:val="2E74B5" w:themeColor="accent5" w:themeShade="BF"/>
          <w:sz w:val="22"/>
          <w:szCs w:val="22"/>
        </w:rPr>
        <w:t>c</w:t>
      </w:r>
      <w:r w:rsidR="00E91787">
        <w:rPr>
          <w:rFonts w:asciiTheme="minorHAnsi" w:hAnsiTheme="minorHAnsi" w:cstheme="minorHAnsi"/>
          <w:bCs/>
          <w:color w:val="2E74B5" w:themeColor="accent5" w:themeShade="BF"/>
          <w:sz w:val="22"/>
          <w:szCs w:val="22"/>
        </w:rPr>
        <w:t>ollection in the General Fund Receipt Account, which will be part of the</w:t>
      </w:r>
      <w:r w:rsidR="00E91787">
        <w:rPr>
          <w:rFonts w:asciiTheme="minorHAnsi" w:hAnsiTheme="minorHAnsi" w:cstheme="minorHAnsi"/>
          <w:sz w:val="22"/>
          <w:szCs w:val="22"/>
        </w:rPr>
        <w:t xml:space="preserve"> </w:t>
      </w:r>
      <w:r w:rsidR="00B944B5" w:rsidRPr="00B944B5">
        <w:rPr>
          <w:rFonts w:asciiTheme="minorHAnsi" w:hAnsiTheme="minorHAnsi" w:cstheme="minorHAnsi"/>
          <w:sz w:val="22"/>
          <w:szCs w:val="22"/>
        </w:rPr>
        <w:t>year</w:t>
      </w:r>
      <w:r w:rsidR="00FB56BF" w:rsidRPr="00FB56BF">
        <w:rPr>
          <w:rFonts w:asciiTheme="minorHAnsi" w:hAnsiTheme="minorHAnsi" w:cstheme="minorHAnsi"/>
          <w:bCs/>
          <w:color w:val="2E74B5" w:themeColor="accent5" w:themeShade="BF"/>
          <w:sz w:val="22"/>
          <w:szCs w:val="22"/>
        </w:rPr>
        <w:t>-</w:t>
      </w:r>
      <w:r w:rsidR="00B944B5" w:rsidRPr="00B944B5">
        <w:rPr>
          <w:rFonts w:asciiTheme="minorHAnsi" w:hAnsiTheme="minorHAnsi" w:cstheme="minorHAnsi"/>
          <w:sz w:val="22"/>
          <w:szCs w:val="22"/>
        </w:rPr>
        <w:t xml:space="preserve">end sweep </w:t>
      </w:r>
      <w:r w:rsidR="00E91787" w:rsidRPr="00E91787">
        <w:rPr>
          <w:rFonts w:asciiTheme="minorHAnsi" w:hAnsiTheme="minorHAnsi" w:cstheme="minorHAnsi"/>
          <w:bCs/>
          <w:color w:val="2E74B5" w:themeColor="accent5" w:themeShade="BF"/>
          <w:sz w:val="22"/>
          <w:szCs w:val="22"/>
        </w:rPr>
        <w:t>to the General Fund</w:t>
      </w:r>
      <w:r w:rsidR="00E91787">
        <w:rPr>
          <w:rFonts w:asciiTheme="minorHAnsi" w:hAnsiTheme="minorHAnsi" w:cstheme="minorHAnsi"/>
          <w:sz w:val="22"/>
          <w:szCs w:val="22"/>
        </w:rPr>
        <w:t xml:space="preserve">, </w:t>
      </w:r>
      <w:r w:rsidR="00B944B5" w:rsidRPr="00E91787">
        <w:rPr>
          <w:rFonts w:asciiTheme="minorHAnsi" w:hAnsiTheme="minorHAnsi" w:cstheme="minorHAnsi"/>
          <w:strike/>
          <w:color w:val="FF0000"/>
          <w:sz w:val="22"/>
          <w:szCs w:val="22"/>
        </w:rPr>
        <w:t xml:space="preserve">of a </w:t>
      </w:r>
    </w:p>
    <w:p w14:paraId="0BF6C986" w14:textId="5AD2931E" w:rsidR="00B944B5" w:rsidRDefault="00B944B5" w:rsidP="00B944B5">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r w:rsidRPr="00E91787">
        <w:rPr>
          <w:rFonts w:asciiTheme="minorHAnsi" w:hAnsiTheme="minorHAnsi" w:cstheme="minorHAnsi"/>
          <w:strike/>
          <w:color w:val="FF0000"/>
          <w:sz w:val="22"/>
          <w:szCs w:val="22"/>
        </w:rPr>
        <w:t>General Fund Receipt Account,</w:t>
      </w:r>
      <w:r w:rsidRPr="00B944B5">
        <w:rPr>
          <w:rFonts w:asciiTheme="minorHAnsi" w:hAnsiTheme="minorHAnsi" w:cstheme="minorHAnsi"/>
          <w:sz w:val="22"/>
          <w:szCs w:val="22"/>
        </w:rPr>
        <w:t xml:space="preserve"> see USSGL TC C142 or C147. </w:t>
      </w:r>
    </w:p>
    <w:p w14:paraId="644F8C9F" w14:textId="77777777" w:rsidR="00B944B5" w:rsidRDefault="00B944B5" w:rsidP="00B944B5">
      <w:pPr>
        <w:pStyle w:val="PlainText"/>
        <w:keepNext/>
        <w:keepLines/>
        <w:tabs>
          <w:tab w:val="left" w:pos="660"/>
          <w:tab w:val="left" w:pos="1840"/>
          <w:tab w:val="left" w:pos="2940"/>
          <w:tab w:val="left" w:pos="3140"/>
        </w:tabs>
        <w:ind w:left="660" w:hanging="660"/>
        <w:jc w:val="both"/>
        <w:rPr>
          <w:rFonts w:asciiTheme="minorHAnsi" w:hAnsiTheme="minorHAnsi" w:cstheme="minorHAnsi"/>
          <w:b/>
          <w:sz w:val="22"/>
          <w:szCs w:val="22"/>
        </w:rPr>
      </w:pPr>
    </w:p>
    <w:p w14:paraId="2A835A6A" w14:textId="159DDDB8" w:rsidR="006B56B1" w:rsidRDefault="006B56B1" w:rsidP="00B944B5">
      <w:pPr>
        <w:pStyle w:val="PlainText"/>
        <w:keepNext/>
        <w:keepLines/>
        <w:tabs>
          <w:tab w:val="left" w:pos="660"/>
          <w:tab w:val="left" w:pos="1840"/>
          <w:tab w:val="left" w:pos="2940"/>
          <w:tab w:val="left" w:pos="3140"/>
        </w:tabs>
        <w:ind w:left="660" w:hanging="660"/>
        <w:jc w:val="both"/>
        <w:rPr>
          <w:rFonts w:asciiTheme="minorHAnsi" w:hAnsiTheme="minorHAnsi" w:cstheme="minorHAnsi"/>
          <w:b/>
          <w:sz w:val="22"/>
          <w:szCs w:val="22"/>
        </w:rPr>
      </w:pPr>
      <w:r>
        <w:rPr>
          <w:rFonts w:asciiTheme="minorHAnsi" w:hAnsiTheme="minorHAnsi" w:cstheme="minorHAnsi"/>
          <w:b/>
          <w:sz w:val="22"/>
          <w:szCs w:val="22"/>
        </w:rPr>
        <w:t>Budgetary</w:t>
      </w:r>
      <w:r w:rsidRPr="00B42FC9">
        <w:rPr>
          <w:rFonts w:asciiTheme="minorHAnsi" w:hAnsiTheme="minorHAnsi" w:cstheme="minorHAnsi"/>
          <w:b/>
          <w:sz w:val="22"/>
          <w:szCs w:val="22"/>
        </w:rPr>
        <w:t xml:space="preserve"> Entry</w:t>
      </w:r>
    </w:p>
    <w:p w14:paraId="4EE23199" w14:textId="6CCDF32F" w:rsidR="006B56B1" w:rsidRPr="006B56B1" w:rsidRDefault="006B56B1" w:rsidP="006B56B1">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6B56B1">
        <w:rPr>
          <w:rFonts w:asciiTheme="minorHAnsi" w:hAnsiTheme="minorHAnsi" w:cstheme="minorHAnsi"/>
          <w:bCs/>
          <w:sz w:val="22"/>
          <w:szCs w:val="22"/>
        </w:rPr>
        <w:t>None</w:t>
      </w:r>
    </w:p>
    <w:p w14:paraId="2E6942F7" w14:textId="4EE60881" w:rsidR="00F51D92" w:rsidRPr="00B42FC9" w:rsidRDefault="00F51D92" w:rsidP="00C70A55">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07D1900C" w14:textId="5E27C251" w:rsidR="00D36A09" w:rsidRDefault="00567D30" w:rsidP="00C70A55">
      <w:pPr>
        <w:autoSpaceDE w:val="0"/>
        <w:autoSpaceDN w:val="0"/>
        <w:adjustRightInd w:val="0"/>
        <w:spacing w:after="0" w:line="240" w:lineRule="auto"/>
        <w:jc w:val="both"/>
        <w:rPr>
          <w:rFonts w:cstheme="minorHAnsi"/>
        </w:rPr>
      </w:pPr>
      <w:r w:rsidRPr="00567D30">
        <w:rPr>
          <w:rFonts w:cstheme="minorHAnsi"/>
        </w:rPr>
        <w:t>Debit</w:t>
      </w:r>
      <w:r w:rsidR="00264EB4">
        <w:rPr>
          <w:rFonts w:cstheme="minorHAnsi"/>
        </w:rPr>
        <w:t xml:space="preserve"> </w:t>
      </w:r>
      <w:r w:rsidR="00714E00">
        <w:rPr>
          <w:rFonts w:cstheme="minorHAnsi"/>
        </w:rPr>
        <w:t>101000</w:t>
      </w:r>
      <w:r w:rsidRPr="00567D30">
        <w:rPr>
          <w:rFonts w:cstheme="minorHAnsi"/>
        </w:rPr>
        <w:t xml:space="preserve"> </w:t>
      </w:r>
      <w:r w:rsidR="00714E00" w:rsidRPr="00714E00">
        <w:rPr>
          <w:rFonts w:cstheme="minorHAnsi"/>
        </w:rPr>
        <w:t xml:space="preserve">Fund Balance </w:t>
      </w:r>
      <w:proofErr w:type="gramStart"/>
      <w:r w:rsidR="00714E00" w:rsidRPr="00714E00">
        <w:rPr>
          <w:rFonts w:cstheme="minorHAnsi"/>
        </w:rPr>
        <w:t>With</w:t>
      </w:r>
      <w:proofErr w:type="gramEnd"/>
      <w:r w:rsidR="00714E00" w:rsidRPr="00714E00">
        <w:rPr>
          <w:rFonts w:cstheme="minorHAnsi"/>
        </w:rPr>
        <w:t xml:space="preserve"> Treasury</w:t>
      </w:r>
    </w:p>
    <w:p w14:paraId="187246DE" w14:textId="696B9B6D" w:rsidR="002E3FFA" w:rsidRDefault="00567D30" w:rsidP="00264EB4">
      <w:pPr>
        <w:autoSpaceDE w:val="0"/>
        <w:autoSpaceDN w:val="0"/>
        <w:adjustRightInd w:val="0"/>
        <w:spacing w:after="0" w:line="240" w:lineRule="auto"/>
        <w:ind w:firstLine="720"/>
        <w:jc w:val="both"/>
        <w:rPr>
          <w:rFonts w:cstheme="minorHAnsi"/>
        </w:rPr>
      </w:pPr>
      <w:r w:rsidRPr="00567D30">
        <w:rPr>
          <w:rFonts w:cstheme="minorHAnsi"/>
        </w:rPr>
        <w:t xml:space="preserve">Credit    </w:t>
      </w:r>
      <w:r w:rsidR="00B944B5">
        <w:rPr>
          <w:rFonts w:cstheme="minorHAnsi"/>
        </w:rPr>
        <w:t>575600</w:t>
      </w:r>
      <w:r w:rsidR="00D36A09">
        <w:rPr>
          <w:rFonts w:cstheme="minorHAnsi"/>
        </w:rPr>
        <w:t xml:space="preserve"> </w:t>
      </w:r>
      <w:r w:rsidR="00B944B5" w:rsidRPr="00B944B5">
        <w:rPr>
          <w:rFonts w:cstheme="minorHAnsi"/>
        </w:rPr>
        <w:t>Non-Expenditure Financing Sources - Transfers-In - Capital Transfers</w:t>
      </w:r>
    </w:p>
    <w:p w14:paraId="0FABD2BE" w14:textId="5D89F6E7" w:rsidR="002E3FFA" w:rsidRDefault="002E3FFA" w:rsidP="002E3FFA">
      <w:pPr>
        <w:autoSpaceDE w:val="0"/>
        <w:autoSpaceDN w:val="0"/>
        <w:adjustRightInd w:val="0"/>
        <w:spacing w:after="0" w:line="240" w:lineRule="auto"/>
        <w:jc w:val="both"/>
        <w:rPr>
          <w:rFonts w:cstheme="minorHAnsi"/>
        </w:rPr>
      </w:pPr>
    </w:p>
    <w:p w14:paraId="11E55D1E" w14:textId="27E738C1" w:rsidR="002E3FFA" w:rsidRDefault="007336FE" w:rsidP="00F007D9">
      <w:pPr>
        <w:autoSpaceDE w:val="0"/>
        <w:autoSpaceDN w:val="0"/>
        <w:adjustRightInd w:val="0"/>
        <w:spacing w:after="120" w:line="240" w:lineRule="auto"/>
        <w:jc w:val="both"/>
        <w:rPr>
          <w:rFonts w:cstheme="minorHAnsi"/>
          <w:b/>
        </w:rPr>
      </w:pPr>
      <w:r>
        <w:rPr>
          <w:rFonts w:cstheme="minorHAnsi"/>
          <w:b/>
        </w:rPr>
        <w:t>Accrued Benefits for Unpaid Estimated Costs Incurred</w:t>
      </w:r>
    </w:p>
    <w:p w14:paraId="450B79B1" w14:textId="77777777" w:rsidR="00264EB4" w:rsidRDefault="00C70A55" w:rsidP="00F007D9">
      <w:pPr>
        <w:autoSpaceDE w:val="0"/>
        <w:autoSpaceDN w:val="0"/>
        <w:adjustRightInd w:val="0"/>
        <w:spacing w:after="120" w:line="240" w:lineRule="auto"/>
        <w:jc w:val="both"/>
        <w:rPr>
          <w:rFonts w:cstheme="minorHAnsi"/>
          <w:bCs/>
        </w:rPr>
      </w:pPr>
      <w:r w:rsidRPr="00B42FC9">
        <w:rPr>
          <w:rFonts w:cstheme="minorHAnsi"/>
          <w:b/>
        </w:rPr>
        <w:t xml:space="preserve">2) </w:t>
      </w:r>
      <w:r w:rsidR="007336FE">
        <w:rPr>
          <w:rFonts w:cstheme="minorHAnsi"/>
          <w:b/>
        </w:rPr>
        <w:t>E106</w:t>
      </w:r>
      <w:r w:rsidR="004A7266" w:rsidRPr="004A7266">
        <w:rPr>
          <w:rFonts w:cstheme="minorHAnsi"/>
          <w:b/>
        </w:rPr>
        <w:t xml:space="preserve"> </w:t>
      </w:r>
      <w:r w:rsidR="00264EB4" w:rsidRPr="00264EB4">
        <w:rPr>
          <w:rFonts w:cstheme="minorHAnsi"/>
          <w:bCs/>
        </w:rPr>
        <w:t xml:space="preserve">To record the accrued benefits at the end of the accounting period for unpaid estimated costs incurred. This entry is recorded by the benefit administering agency. </w:t>
      </w:r>
    </w:p>
    <w:p w14:paraId="42C07614" w14:textId="27A0E6E2" w:rsidR="00264EB4" w:rsidRPr="008B71F3" w:rsidRDefault="0070072A" w:rsidP="00264EB4">
      <w:pPr>
        <w:autoSpaceDE w:val="0"/>
        <w:autoSpaceDN w:val="0"/>
        <w:adjustRightInd w:val="0"/>
        <w:spacing w:after="120" w:line="240" w:lineRule="auto"/>
        <w:jc w:val="both"/>
        <w:rPr>
          <w:rFonts w:cstheme="minorHAnsi"/>
          <w:bCs/>
          <w:color w:val="2E74B5" w:themeColor="accent5" w:themeShade="BF"/>
        </w:rPr>
      </w:pPr>
      <w:r w:rsidRPr="0070072A">
        <w:rPr>
          <w:rFonts w:cstheme="minorHAnsi"/>
          <w:b/>
        </w:rPr>
        <w:t>Comment:</w:t>
      </w:r>
      <w:r w:rsidRPr="0070072A">
        <w:rPr>
          <w:rFonts w:cstheme="minorHAnsi"/>
          <w:bCs/>
        </w:rPr>
        <w:t xml:space="preserve"> </w:t>
      </w:r>
      <w:r w:rsidR="00264EB4" w:rsidRPr="00264EB4">
        <w:rPr>
          <w:rFonts w:cstheme="minorHAnsi"/>
          <w:bCs/>
        </w:rPr>
        <w:t xml:space="preserve">If funded by a direct appropriation, also post USSGL TC B134. Reverse accruals at the beginning of the next accounting period. While it is acceptable to debit USSGL accounts 461000 and 462000 in this situation, it is never acceptable for the balance in either of these accounts to be a debit. </w:t>
      </w:r>
      <w:r w:rsidR="00113454" w:rsidRPr="008B71F3">
        <w:rPr>
          <w:rFonts w:cstheme="minorHAnsi"/>
          <w:bCs/>
          <w:color w:val="2E74B5" w:themeColor="accent5" w:themeShade="BF"/>
        </w:rPr>
        <w:t>R</w:t>
      </w:r>
      <w:r w:rsidR="00117770" w:rsidRPr="008B71F3">
        <w:rPr>
          <w:rFonts w:cstheme="minorHAnsi"/>
          <w:bCs/>
          <w:color w:val="2E74B5" w:themeColor="accent5" w:themeShade="BF"/>
        </w:rPr>
        <w:t xml:space="preserve">efer to </w:t>
      </w:r>
      <w:r w:rsidR="00275A7B" w:rsidRPr="008B71F3">
        <w:rPr>
          <w:rFonts w:cstheme="minorHAnsi"/>
          <w:bCs/>
          <w:color w:val="2E74B5" w:themeColor="accent5" w:themeShade="BF"/>
        </w:rPr>
        <w:t xml:space="preserve">the </w:t>
      </w:r>
      <w:r w:rsidR="00113454" w:rsidRPr="008B71F3">
        <w:rPr>
          <w:rFonts w:cstheme="minorHAnsi"/>
          <w:bCs/>
          <w:color w:val="2E74B5" w:themeColor="accent5" w:themeShade="BF"/>
        </w:rPr>
        <w:t>USSGL 640000 “Benefit Expense” Account Definition to ensure correct SGL usage of all benefit expenses.</w:t>
      </w:r>
    </w:p>
    <w:p w14:paraId="52662DF3" w14:textId="3A2DEA9B" w:rsidR="00264EB4" w:rsidRDefault="00264EB4" w:rsidP="00264EB4">
      <w:pPr>
        <w:autoSpaceDE w:val="0"/>
        <w:autoSpaceDN w:val="0"/>
        <w:adjustRightInd w:val="0"/>
        <w:spacing w:after="120" w:line="240" w:lineRule="auto"/>
        <w:jc w:val="both"/>
        <w:rPr>
          <w:rFonts w:cstheme="minorHAnsi"/>
          <w:bCs/>
        </w:rPr>
      </w:pPr>
      <w:r w:rsidRPr="00264EB4">
        <w:rPr>
          <w:rFonts w:cstheme="minorHAnsi"/>
          <w:b/>
        </w:rPr>
        <w:t>Reference:</w:t>
      </w:r>
      <w:r w:rsidRPr="00264EB4">
        <w:rPr>
          <w:rFonts w:cstheme="minorHAnsi"/>
          <w:bCs/>
        </w:rPr>
        <w:t xml:space="preserve"> Unemployment Trust Fund Repayable Advances and Non-Repayable Advances (Indefinite Budget Authority) 2017</w:t>
      </w:r>
    </w:p>
    <w:p w14:paraId="2B762F4E" w14:textId="6C7EAAAA" w:rsidR="002E3FFA" w:rsidRDefault="0070072A" w:rsidP="00264EB4">
      <w:pPr>
        <w:autoSpaceDE w:val="0"/>
        <w:autoSpaceDN w:val="0"/>
        <w:adjustRightInd w:val="0"/>
        <w:spacing w:after="120" w:line="240" w:lineRule="auto"/>
        <w:jc w:val="both"/>
        <w:rPr>
          <w:rFonts w:cstheme="minorHAnsi"/>
          <w:b/>
        </w:rPr>
      </w:pPr>
      <w:r w:rsidRPr="004A7266">
        <w:rPr>
          <w:rFonts w:cstheme="minorHAnsi"/>
          <w:b/>
        </w:rPr>
        <w:t>Budgetary Entry</w:t>
      </w:r>
    </w:p>
    <w:p w14:paraId="0693518B" w14:textId="15735950" w:rsidR="00264EB4" w:rsidRDefault="00264EB4" w:rsidP="002E3FFA">
      <w:pPr>
        <w:autoSpaceDE w:val="0"/>
        <w:autoSpaceDN w:val="0"/>
        <w:adjustRightInd w:val="0"/>
        <w:spacing w:after="0" w:line="240" w:lineRule="auto"/>
        <w:jc w:val="both"/>
        <w:rPr>
          <w:rFonts w:cstheme="minorHAnsi"/>
          <w:bCs/>
        </w:rPr>
      </w:pPr>
      <w:r w:rsidRPr="00264EB4">
        <w:rPr>
          <w:rFonts w:cstheme="minorHAnsi"/>
          <w:bCs/>
        </w:rPr>
        <w:t>Debit</w:t>
      </w:r>
      <w:r>
        <w:rPr>
          <w:rFonts w:cstheme="minorHAnsi"/>
          <w:bCs/>
        </w:rPr>
        <w:t xml:space="preserve"> </w:t>
      </w:r>
      <w:r w:rsidRPr="00264EB4">
        <w:rPr>
          <w:rFonts w:cstheme="minorHAnsi"/>
          <w:bCs/>
        </w:rPr>
        <w:t xml:space="preserve">461000 Allotments - Realized Resources  </w:t>
      </w:r>
    </w:p>
    <w:p w14:paraId="4BD086E8" w14:textId="7E2A1B38" w:rsidR="00264EB4" w:rsidRDefault="00264EB4" w:rsidP="002E3FFA">
      <w:pPr>
        <w:autoSpaceDE w:val="0"/>
        <w:autoSpaceDN w:val="0"/>
        <w:adjustRightInd w:val="0"/>
        <w:spacing w:after="0" w:line="240" w:lineRule="auto"/>
        <w:jc w:val="both"/>
        <w:rPr>
          <w:rFonts w:cstheme="minorHAnsi"/>
          <w:bCs/>
        </w:rPr>
      </w:pPr>
      <w:r w:rsidRPr="00264EB4">
        <w:rPr>
          <w:rFonts w:cstheme="minorHAnsi"/>
          <w:bCs/>
        </w:rPr>
        <w:t>Debit</w:t>
      </w:r>
      <w:r>
        <w:rPr>
          <w:rFonts w:cstheme="minorHAnsi"/>
          <w:bCs/>
        </w:rPr>
        <w:t xml:space="preserve"> </w:t>
      </w:r>
      <w:r w:rsidRPr="00264EB4">
        <w:rPr>
          <w:rFonts w:cstheme="minorHAnsi"/>
          <w:bCs/>
        </w:rPr>
        <w:t xml:space="preserve">462000 Unobligated Funds Exempt From Apportionment  </w:t>
      </w:r>
    </w:p>
    <w:p w14:paraId="7E5CAB3E" w14:textId="26DEA699" w:rsidR="00264EB4" w:rsidRDefault="00264EB4" w:rsidP="002E3FFA">
      <w:pPr>
        <w:autoSpaceDE w:val="0"/>
        <w:autoSpaceDN w:val="0"/>
        <w:adjustRightInd w:val="0"/>
        <w:spacing w:after="0" w:line="240" w:lineRule="auto"/>
        <w:jc w:val="both"/>
        <w:rPr>
          <w:rFonts w:cstheme="minorHAnsi"/>
          <w:bCs/>
        </w:rPr>
      </w:pPr>
      <w:r w:rsidRPr="00264EB4">
        <w:rPr>
          <w:rFonts w:cstheme="minorHAnsi"/>
          <w:bCs/>
        </w:rPr>
        <w:t>Debit</w:t>
      </w:r>
      <w:r>
        <w:rPr>
          <w:rFonts w:cstheme="minorHAnsi"/>
          <w:bCs/>
        </w:rPr>
        <w:t xml:space="preserve"> </w:t>
      </w:r>
      <w:r w:rsidRPr="00264EB4">
        <w:rPr>
          <w:rFonts w:cstheme="minorHAnsi"/>
          <w:bCs/>
        </w:rPr>
        <w:t xml:space="preserve">480100 Undelivered Orders - Obligations, Unpaid     </w:t>
      </w:r>
    </w:p>
    <w:p w14:paraId="784D0A28" w14:textId="7D2C3C32" w:rsidR="00264EB4" w:rsidRDefault="00264EB4" w:rsidP="00264EB4">
      <w:pPr>
        <w:autoSpaceDE w:val="0"/>
        <w:autoSpaceDN w:val="0"/>
        <w:adjustRightInd w:val="0"/>
        <w:spacing w:after="0" w:line="240" w:lineRule="auto"/>
        <w:ind w:firstLine="720"/>
        <w:jc w:val="both"/>
        <w:rPr>
          <w:rFonts w:cstheme="minorHAnsi"/>
          <w:bCs/>
        </w:rPr>
      </w:pPr>
      <w:r w:rsidRPr="00264EB4">
        <w:rPr>
          <w:rFonts w:cstheme="minorHAnsi"/>
          <w:bCs/>
        </w:rPr>
        <w:t>Credit</w:t>
      </w:r>
      <w:r>
        <w:rPr>
          <w:rFonts w:cstheme="minorHAnsi"/>
          <w:bCs/>
        </w:rPr>
        <w:t xml:space="preserve"> </w:t>
      </w:r>
      <w:r w:rsidRPr="00264EB4">
        <w:rPr>
          <w:rFonts w:cstheme="minorHAnsi"/>
          <w:bCs/>
        </w:rPr>
        <w:t>490100</w:t>
      </w:r>
      <w:r>
        <w:rPr>
          <w:rFonts w:cstheme="minorHAnsi"/>
          <w:bCs/>
        </w:rPr>
        <w:t xml:space="preserve"> </w:t>
      </w:r>
      <w:r w:rsidRPr="00264EB4">
        <w:rPr>
          <w:rFonts w:cstheme="minorHAnsi"/>
          <w:bCs/>
        </w:rPr>
        <w:t xml:space="preserve">Delivered Orders - Obligations, Unpaid </w:t>
      </w:r>
    </w:p>
    <w:p w14:paraId="41397E97" w14:textId="77777777" w:rsidR="00264EB4" w:rsidRDefault="00264EB4" w:rsidP="00264EB4">
      <w:pPr>
        <w:autoSpaceDE w:val="0"/>
        <w:autoSpaceDN w:val="0"/>
        <w:adjustRightInd w:val="0"/>
        <w:spacing w:after="0" w:line="240" w:lineRule="auto"/>
        <w:jc w:val="both"/>
        <w:rPr>
          <w:rFonts w:cstheme="minorHAnsi"/>
          <w:bCs/>
        </w:rPr>
      </w:pPr>
    </w:p>
    <w:p w14:paraId="0C28EF78" w14:textId="77777777" w:rsidR="00176AB2" w:rsidRDefault="003845C3" w:rsidP="00176AB2">
      <w:pPr>
        <w:autoSpaceDE w:val="0"/>
        <w:autoSpaceDN w:val="0"/>
        <w:adjustRightInd w:val="0"/>
        <w:spacing w:after="0" w:line="240" w:lineRule="auto"/>
        <w:jc w:val="both"/>
        <w:rPr>
          <w:rFonts w:cstheme="minorHAnsi"/>
          <w:b/>
        </w:rPr>
      </w:pPr>
      <w:r w:rsidRPr="00B42FC9">
        <w:rPr>
          <w:rFonts w:cstheme="minorHAnsi"/>
          <w:b/>
        </w:rPr>
        <w:t>Proprietary Entry</w:t>
      </w:r>
    </w:p>
    <w:p w14:paraId="203144C2" w14:textId="77777777" w:rsidR="004A6012" w:rsidRDefault="00176AB2" w:rsidP="00176AB2">
      <w:pPr>
        <w:autoSpaceDE w:val="0"/>
        <w:autoSpaceDN w:val="0"/>
        <w:adjustRightInd w:val="0"/>
        <w:spacing w:after="0" w:line="240" w:lineRule="auto"/>
        <w:jc w:val="both"/>
        <w:rPr>
          <w:rFonts w:cstheme="minorHAnsi"/>
          <w:bCs/>
        </w:rPr>
      </w:pPr>
      <w:r w:rsidRPr="00176AB2">
        <w:rPr>
          <w:rFonts w:cstheme="minorHAnsi"/>
          <w:bCs/>
        </w:rPr>
        <w:t>Debit 261000 Actuarial Pension Liability</w:t>
      </w:r>
    </w:p>
    <w:p w14:paraId="45A6E0DF" w14:textId="5A927A14" w:rsidR="00176AB2" w:rsidRPr="004A6012" w:rsidRDefault="004A6012" w:rsidP="00176AB2">
      <w:pPr>
        <w:autoSpaceDE w:val="0"/>
        <w:autoSpaceDN w:val="0"/>
        <w:adjustRightInd w:val="0"/>
        <w:spacing w:after="0" w:line="240" w:lineRule="auto"/>
        <w:jc w:val="both"/>
        <w:rPr>
          <w:rFonts w:cstheme="minorHAnsi"/>
          <w:bCs/>
          <w:color w:val="2E74B5" w:themeColor="accent5" w:themeShade="BF"/>
        </w:rPr>
      </w:pPr>
      <w:r w:rsidRPr="004A6012">
        <w:rPr>
          <w:rFonts w:cstheme="minorHAnsi"/>
          <w:bCs/>
          <w:color w:val="2E74B5" w:themeColor="accent5" w:themeShade="BF"/>
        </w:rPr>
        <w:t>Debit 610000 Operating Expenses/Program Costs</w:t>
      </w:r>
      <w:r w:rsidR="00176AB2" w:rsidRPr="004A6012">
        <w:rPr>
          <w:rFonts w:cstheme="minorHAnsi"/>
          <w:bCs/>
          <w:color w:val="2E74B5" w:themeColor="accent5" w:themeShade="BF"/>
        </w:rPr>
        <w:t xml:space="preserve">  </w:t>
      </w:r>
    </w:p>
    <w:p w14:paraId="13179A49" w14:textId="06103564" w:rsidR="00176AB2" w:rsidRDefault="00176AB2" w:rsidP="00176AB2">
      <w:pPr>
        <w:autoSpaceDE w:val="0"/>
        <w:autoSpaceDN w:val="0"/>
        <w:adjustRightInd w:val="0"/>
        <w:spacing w:after="0" w:line="240" w:lineRule="auto"/>
        <w:jc w:val="both"/>
        <w:rPr>
          <w:rFonts w:cstheme="minorHAnsi"/>
          <w:bCs/>
        </w:rPr>
      </w:pPr>
      <w:r w:rsidRPr="00176AB2">
        <w:rPr>
          <w:rFonts w:cstheme="minorHAnsi"/>
          <w:bCs/>
        </w:rPr>
        <w:t>Debit 640000 Benefit Expense</w:t>
      </w:r>
    </w:p>
    <w:p w14:paraId="3E7C654E" w14:textId="1796228A" w:rsidR="00176AB2" w:rsidRDefault="00176AB2" w:rsidP="00176AB2">
      <w:pPr>
        <w:autoSpaceDE w:val="0"/>
        <w:autoSpaceDN w:val="0"/>
        <w:adjustRightInd w:val="0"/>
        <w:spacing w:after="0" w:line="240" w:lineRule="auto"/>
        <w:ind w:firstLine="720"/>
        <w:jc w:val="both"/>
        <w:rPr>
          <w:rFonts w:cstheme="minorHAnsi"/>
          <w:bCs/>
        </w:rPr>
      </w:pPr>
      <w:r w:rsidRPr="00176AB2">
        <w:rPr>
          <w:rFonts w:cstheme="minorHAnsi"/>
          <w:bCs/>
        </w:rPr>
        <w:t>Credit</w:t>
      </w:r>
      <w:r w:rsidR="002A5528">
        <w:rPr>
          <w:rFonts w:cstheme="minorHAnsi"/>
          <w:bCs/>
        </w:rPr>
        <w:t xml:space="preserve"> </w:t>
      </w:r>
      <w:r w:rsidRPr="00176AB2">
        <w:rPr>
          <w:rFonts w:cstheme="minorHAnsi"/>
          <w:bCs/>
        </w:rPr>
        <w:t>216000 Entitlement Benefits Due and Payable</w:t>
      </w:r>
    </w:p>
    <w:p w14:paraId="74DCD82B" w14:textId="75B7B862" w:rsidR="00176AB2" w:rsidRDefault="00176AB2" w:rsidP="00176AB2">
      <w:pPr>
        <w:autoSpaceDE w:val="0"/>
        <w:autoSpaceDN w:val="0"/>
        <w:adjustRightInd w:val="0"/>
        <w:spacing w:after="0" w:line="240" w:lineRule="auto"/>
        <w:ind w:firstLine="720"/>
        <w:jc w:val="both"/>
        <w:rPr>
          <w:rFonts w:cstheme="minorHAnsi"/>
          <w:bCs/>
        </w:rPr>
      </w:pPr>
      <w:r w:rsidRPr="00176AB2">
        <w:rPr>
          <w:rFonts w:cstheme="minorHAnsi"/>
          <w:bCs/>
        </w:rPr>
        <w:t>Credit</w:t>
      </w:r>
      <w:r w:rsidR="002A5528">
        <w:rPr>
          <w:rFonts w:cstheme="minorHAnsi"/>
          <w:bCs/>
        </w:rPr>
        <w:t xml:space="preserve"> </w:t>
      </w:r>
      <w:r w:rsidRPr="00176AB2">
        <w:rPr>
          <w:rFonts w:cstheme="minorHAnsi"/>
          <w:bCs/>
        </w:rPr>
        <w:t>221500 Other Post Employment Benefits Due and Payable</w:t>
      </w:r>
    </w:p>
    <w:p w14:paraId="2B0C6111" w14:textId="242986E8" w:rsidR="00176AB2" w:rsidRDefault="00176AB2" w:rsidP="00176AB2">
      <w:pPr>
        <w:autoSpaceDE w:val="0"/>
        <w:autoSpaceDN w:val="0"/>
        <w:adjustRightInd w:val="0"/>
        <w:spacing w:after="0" w:line="240" w:lineRule="auto"/>
        <w:ind w:firstLine="720"/>
        <w:jc w:val="both"/>
        <w:rPr>
          <w:rFonts w:cstheme="minorHAnsi"/>
          <w:bCs/>
        </w:rPr>
      </w:pPr>
      <w:r w:rsidRPr="00176AB2">
        <w:rPr>
          <w:rFonts w:cstheme="minorHAnsi"/>
          <w:bCs/>
        </w:rPr>
        <w:t>Credit</w:t>
      </w:r>
      <w:r w:rsidR="002A5528">
        <w:rPr>
          <w:rFonts w:cstheme="minorHAnsi"/>
          <w:bCs/>
        </w:rPr>
        <w:t xml:space="preserve"> </w:t>
      </w:r>
      <w:r w:rsidRPr="00176AB2">
        <w:rPr>
          <w:rFonts w:cstheme="minorHAnsi"/>
          <w:bCs/>
        </w:rPr>
        <w:t>221600 Pension Benefits Due and Payable to Beneficiaries</w:t>
      </w:r>
    </w:p>
    <w:p w14:paraId="47B093FB" w14:textId="68293D22" w:rsidR="00176AB2" w:rsidRDefault="00176AB2" w:rsidP="00176AB2">
      <w:pPr>
        <w:autoSpaceDE w:val="0"/>
        <w:autoSpaceDN w:val="0"/>
        <w:adjustRightInd w:val="0"/>
        <w:spacing w:after="0" w:line="240" w:lineRule="auto"/>
        <w:ind w:firstLine="720"/>
        <w:jc w:val="both"/>
        <w:rPr>
          <w:rFonts w:cstheme="minorHAnsi"/>
          <w:bCs/>
        </w:rPr>
      </w:pPr>
      <w:r w:rsidRPr="00176AB2">
        <w:rPr>
          <w:rFonts w:cstheme="minorHAnsi"/>
          <w:bCs/>
        </w:rPr>
        <w:t xml:space="preserve">Credit </w:t>
      </w:r>
      <w:r w:rsidR="002A5528">
        <w:rPr>
          <w:rFonts w:cstheme="minorHAnsi"/>
          <w:bCs/>
        </w:rPr>
        <w:t>2</w:t>
      </w:r>
      <w:r w:rsidRPr="00176AB2">
        <w:rPr>
          <w:rFonts w:cstheme="minorHAnsi"/>
          <w:bCs/>
        </w:rPr>
        <w:t>21700 Benefit Premiums Payable to Carriers</w:t>
      </w:r>
    </w:p>
    <w:p w14:paraId="7DC98956" w14:textId="111B2CCD" w:rsidR="00176AB2" w:rsidRPr="00176AB2" w:rsidRDefault="00176AB2" w:rsidP="00176AB2">
      <w:pPr>
        <w:autoSpaceDE w:val="0"/>
        <w:autoSpaceDN w:val="0"/>
        <w:adjustRightInd w:val="0"/>
        <w:spacing w:after="0" w:line="240" w:lineRule="auto"/>
        <w:ind w:firstLine="720"/>
        <w:jc w:val="both"/>
        <w:rPr>
          <w:rFonts w:cstheme="minorHAnsi"/>
          <w:b/>
        </w:rPr>
      </w:pPr>
      <w:r w:rsidRPr="00176AB2">
        <w:rPr>
          <w:rFonts w:cstheme="minorHAnsi"/>
          <w:bCs/>
        </w:rPr>
        <w:t>Credit</w:t>
      </w:r>
      <w:r w:rsidR="002A5528">
        <w:rPr>
          <w:rFonts w:cstheme="minorHAnsi"/>
          <w:bCs/>
        </w:rPr>
        <w:t xml:space="preserve"> </w:t>
      </w:r>
      <w:r w:rsidRPr="00176AB2">
        <w:rPr>
          <w:rFonts w:cstheme="minorHAnsi"/>
          <w:bCs/>
        </w:rPr>
        <w:t>221800 Life Insurance Benefits Due and Payable to Beneficiaries</w:t>
      </w:r>
    </w:p>
    <w:sectPr w:rsidR="00176AB2" w:rsidRPr="00176A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3880D215"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Pr="00745D48">
              <w:rPr>
                <w:b/>
                <w:bCs/>
              </w:rPr>
              <w:t xml:space="preserve">IRC Handout </w:t>
            </w:r>
            <w:r w:rsidR="00402526">
              <w:rPr>
                <w:b/>
                <w:bCs/>
              </w:rPr>
              <w:t>0</w:t>
            </w:r>
            <w:r w:rsidR="00371B20">
              <w:rPr>
                <w:b/>
                <w:bCs/>
              </w:rPr>
              <w:t>8</w:t>
            </w:r>
            <w:r w:rsidRPr="00745D48">
              <w:rPr>
                <w:b/>
                <w:bCs/>
              </w:rPr>
              <w:t>/</w:t>
            </w:r>
            <w:r w:rsidR="00371B20">
              <w:rPr>
                <w:b/>
                <w:bCs/>
              </w:rPr>
              <w:t>05</w:t>
            </w:r>
            <w:r w:rsidRPr="00745D48">
              <w:rPr>
                <w:b/>
                <w:bCs/>
              </w:rPr>
              <w:t>/202</w:t>
            </w:r>
            <w:r w:rsidR="00402526">
              <w:rPr>
                <w:b/>
                <w:bCs/>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226A0"/>
    <w:rsid w:val="000229E9"/>
    <w:rsid w:val="00033F87"/>
    <w:rsid w:val="00060BF1"/>
    <w:rsid w:val="00070373"/>
    <w:rsid w:val="000A0A31"/>
    <w:rsid w:val="000C10C6"/>
    <w:rsid w:val="000D392A"/>
    <w:rsid w:val="000F3890"/>
    <w:rsid w:val="00113454"/>
    <w:rsid w:val="0011453B"/>
    <w:rsid w:val="00117770"/>
    <w:rsid w:val="00176AB2"/>
    <w:rsid w:val="00193716"/>
    <w:rsid w:val="001D2FAF"/>
    <w:rsid w:val="00204951"/>
    <w:rsid w:val="00213B60"/>
    <w:rsid w:val="00226742"/>
    <w:rsid w:val="002569C0"/>
    <w:rsid w:val="00261747"/>
    <w:rsid w:val="00264EB4"/>
    <w:rsid w:val="0027178D"/>
    <w:rsid w:val="00275A7B"/>
    <w:rsid w:val="00292AE6"/>
    <w:rsid w:val="002949C4"/>
    <w:rsid w:val="002A5528"/>
    <w:rsid w:val="002B00EE"/>
    <w:rsid w:val="002B301B"/>
    <w:rsid w:val="002B3C1E"/>
    <w:rsid w:val="002C5E7A"/>
    <w:rsid w:val="002D1068"/>
    <w:rsid w:val="002E3FFA"/>
    <w:rsid w:val="002F0AE7"/>
    <w:rsid w:val="00306DAF"/>
    <w:rsid w:val="0032755B"/>
    <w:rsid w:val="00343BB0"/>
    <w:rsid w:val="00371B20"/>
    <w:rsid w:val="00381CE8"/>
    <w:rsid w:val="00383A13"/>
    <w:rsid w:val="003845C3"/>
    <w:rsid w:val="003A759C"/>
    <w:rsid w:val="003B675E"/>
    <w:rsid w:val="003C711F"/>
    <w:rsid w:val="003E7E5B"/>
    <w:rsid w:val="00402526"/>
    <w:rsid w:val="0041400B"/>
    <w:rsid w:val="00424EE4"/>
    <w:rsid w:val="0044586A"/>
    <w:rsid w:val="00451FEC"/>
    <w:rsid w:val="0046788D"/>
    <w:rsid w:val="004A6012"/>
    <w:rsid w:val="004A7266"/>
    <w:rsid w:val="004B131E"/>
    <w:rsid w:val="004B3F3B"/>
    <w:rsid w:val="005042CC"/>
    <w:rsid w:val="00507F02"/>
    <w:rsid w:val="00522642"/>
    <w:rsid w:val="00533429"/>
    <w:rsid w:val="00567D30"/>
    <w:rsid w:val="005B04F2"/>
    <w:rsid w:val="0060687F"/>
    <w:rsid w:val="0061370D"/>
    <w:rsid w:val="00632311"/>
    <w:rsid w:val="00634099"/>
    <w:rsid w:val="00655CFD"/>
    <w:rsid w:val="006762FB"/>
    <w:rsid w:val="00685037"/>
    <w:rsid w:val="006B56B1"/>
    <w:rsid w:val="006D60DA"/>
    <w:rsid w:val="006F6AB0"/>
    <w:rsid w:val="0070072A"/>
    <w:rsid w:val="00714E00"/>
    <w:rsid w:val="007336FE"/>
    <w:rsid w:val="00745D48"/>
    <w:rsid w:val="007673FB"/>
    <w:rsid w:val="007A0A84"/>
    <w:rsid w:val="007A7718"/>
    <w:rsid w:val="007C3D6E"/>
    <w:rsid w:val="007D73D7"/>
    <w:rsid w:val="007E7416"/>
    <w:rsid w:val="007F2B9E"/>
    <w:rsid w:val="007F337A"/>
    <w:rsid w:val="00800998"/>
    <w:rsid w:val="0081279B"/>
    <w:rsid w:val="0082627A"/>
    <w:rsid w:val="00842B61"/>
    <w:rsid w:val="00865DC3"/>
    <w:rsid w:val="00882128"/>
    <w:rsid w:val="0088655E"/>
    <w:rsid w:val="00890A51"/>
    <w:rsid w:val="008A0952"/>
    <w:rsid w:val="008A33F8"/>
    <w:rsid w:val="008B71F3"/>
    <w:rsid w:val="008C0B77"/>
    <w:rsid w:val="008F533F"/>
    <w:rsid w:val="00906CC5"/>
    <w:rsid w:val="00910C68"/>
    <w:rsid w:val="009333AA"/>
    <w:rsid w:val="009342C2"/>
    <w:rsid w:val="00946869"/>
    <w:rsid w:val="00947411"/>
    <w:rsid w:val="009539E9"/>
    <w:rsid w:val="00985AFC"/>
    <w:rsid w:val="00990F0B"/>
    <w:rsid w:val="009A1003"/>
    <w:rsid w:val="009A1008"/>
    <w:rsid w:val="009D2686"/>
    <w:rsid w:val="009D456A"/>
    <w:rsid w:val="009D6E5F"/>
    <w:rsid w:val="009F282C"/>
    <w:rsid w:val="009F4BCA"/>
    <w:rsid w:val="00A07A1A"/>
    <w:rsid w:val="00A43F75"/>
    <w:rsid w:val="00A87B86"/>
    <w:rsid w:val="00A90A83"/>
    <w:rsid w:val="00AA2B58"/>
    <w:rsid w:val="00AA4FFA"/>
    <w:rsid w:val="00AC44E3"/>
    <w:rsid w:val="00AD68A5"/>
    <w:rsid w:val="00AE3709"/>
    <w:rsid w:val="00AE75F2"/>
    <w:rsid w:val="00B03631"/>
    <w:rsid w:val="00B04C98"/>
    <w:rsid w:val="00B25C6D"/>
    <w:rsid w:val="00B42FC9"/>
    <w:rsid w:val="00B45A33"/>
    <w:rsid w:val="00B55DE8"/>
    <w:rsid w:val="00B6534C"/>
    <w:rsid w:val="00B944B5"/>
    <w:rsid w:val="00B961F9"/>
    <w:rsid w:val="00BA7024"/>
    <w:rsid w:val="00BB25CF"/>
    <w:rsid w:val="00BC7F64"/>
    <w:rsid w:val="00C002CA"/>
    <w:rsid w:val="00C0312C"/>
    <w:rsid w:val="00C11201"/>
    <w:rsid w:val="00C115A6"/>
    <w:rsid w:val="00C14153"/>
    <w:rsid w:val="00C4296E"/>
    <w:rsid w:val="00C4562A"/>
    <w:rsid w:val="00C46BE3"/>
    <w:rsid w:val="00C70A55"/>
    <w:rsid w:val="00C800F9"/>
    <w:rsid w:val="00C82534"/>
    <w:rsid w:val="00C839D7"/>
    <w:rsid w:val="00C84133"/>
    <w:rsid w:val="00C85FCA"/>
    <w:rsid w:val="00C910AE"/>
    <w:rsid w:val="00C92C7F"/>
    <w:rsid w:val="00C95597"/>
    <w:rsid w:val="00CA3AF2"/>
    <w:rsid w:val="00CD29FA"/>
    <w:rsid w:val="00CE210B"/>
    <w:rsid w:val="00CE6A65"/>
    <w:rsid w:val="00CF2391"/>
    <w:rsid w:val="00D33FDC"/>
    <w:rsid w:val="00D36A09"/>
    <w:rsid w:val="00D80D89"/>
    <w:rsid w:val="00D851D1"/>
    <w:rsid w:val="00D90995"/>
    <w:rsid w:val="00D91FE5"/>
    <w:rsid w:val="00D928A8"/>
    <w:rsid w:val="00DA51CB"/>
    <w:rsid w:val="00DD2FB4"/>
    <w:rsid w:val="00DD3CE5"/>
    <w:rsid w:val="00DD55DA"/>
    <w:rsid w:val="00DD6FAB"/>
    <w:rsid w:val="00DE504A"/>
    <w:rsid w:val="00E12394"/>
    <w:rsid w:val="00E165C5"/>
    <w:rsid w:val="00E36D30"/>
    <w:rsid w:val="00E83DB2"/>
    <w:rsid w:val="00E859BB"/>
    <w:rsid w:val="00E90FAD"/>
    <w:rsid w:val="00E91787"/>
    <w:rsid w:val="00E934B9"/>
    <w:rsid w:val="00E95A2C"/>
    <w:rsid w:val="00EB044B"/>
    <w:rsid w:val="00ED0D67"/>
    <w:rsid w:val="00ED26B7"/>
    <w:rsid w:val="00ED5B54"/>
    <w:rsid w:val="00EE49BA"/>
    <w:rsid w:val="00EE7B25"/>
    <w:rsid w:val="00EF5105"/>
    <w:rsid w:val="00F007D9"/>
    <w:rsid w:val="00F00847"/>
    <w:rsid w:val="00F00CB4"/>
    <w:rsid w:val="00F1568C"/>
    <w:rsid w:val="00F27F92"/>
    <w:rsid w:val="00F4472E"/>
    <w:rsid w:val="00F5174D"/>
    <w:rsid w:val="00F51D92"/>
    <w:rsid w:val="00F52182"/>
    <w:rsid w:val="00F666FC"/>
    <w:rsid w:val="00F74B54"/>
    <w:rsid w:val="00F86979"/>
    <w:rsid w:val="00F96CCA"/>
    <w:rsid w:val="00FA6E03"/>
    <w:rsid w:val="00FB2AB5"/>
    <w:rsid w:val="00FB52DF"/>
    <w:rsid w:val="00FB56BF"/>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 Casto</cp:lastModifiedBy>
  <cp:revision>20</cp:revision>
  <dcterms:created xsi:type="dcterms:W3CDTF">2025-07-25T13:42:00Z</dcterms:created>
  <dcterms:modified xsi:type="dcterms:W3CDTF">2025-07-29T18:06:00Z</dcterms:modified>
</cp:coreProperties>
</file>